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524C" w:rsidRPr="00F871E6" w:rsidRDefault="001A524C" w:rsidP="00F871E6">
      <w:pPr>
        <w:pStyle w:val="Textoindependiente"/>
        <w:widowControl w:val="0"/>
        <w:tabs>
          <w:tab w:val="left" w:pos="2410"/>
          <w:tab w:val="left" w:pos="3402"/>
          <w:tab w:val="left" w:pos="6379"/>
          <w:tab w:val="left" w:pos="6946"/>
        </w:tabs>
        <w:suppressAutoHyphens/>
        <w:spacing w:after="0" w:line="240" w:lineRule="auto"/>
        <w:ind w:left="3402" w:right="2268" w:hanging="850"/>
        <w:jc w:val="both"/>
        <w:rPr>
          <w:rFonts w:ascii="Tahoma" w:hAnsi="Tahoma" w:cs="Tahoma"/>
          <w:i/>
          <w:sz w:val="20"/>
          <w:szCs w:val="20"/>
          <w:lang w:val="es-PE"/>
        </w:rPr>
      </w:pPr>
      <w:r w:rsidRPr="00F871E6">
        <w:rPr>
          <w:rFonts w:ascii="Tahoma" w:hAnsi="Tahoma" w:cs="Tahoma"/>
          <w:b/>
          <w:i/>
          <w:sz w:val="20"/>
          <w:szCs w:val="20"/>
        </w:rPr>
        <w:t xml:space="preserve">Sumilla: </w:t>
      </w:r>
      <w:r w:rsidR="008215D5" w:rsidRPr="00F871E6">
        <w:rPr>
          <w:rFonts w:ascii="Tahoma" w:hAnsi="Tahoma" w:cs="Tahoma"/>
          <w:i/>
          <w:sz w:val="20"/>
          <w:szCs w:val="20"/>
        </w:rPr>
        <w:t xml:space="preserve">El procedimiento para suscribir el contrato ha sido previsto en el numeral 1) del artículo 148 del Reglamento, el cual dispone que </w:t>
      </w:r>
      <w:r w:rsidR="008215D5" w:rsidRPr="00F871E6">
        <w:rPr>
          <w:rFonts w:ascii="Tahoma" w:hAnsi="Tahoma" w:cs="Tahoma"/>
          <w:bCs/>
          <w:i/>
          <w:sz w:val="20"/>
          <w:szCs w:val="20"/>
        </w:rPr>
        <w:t>dentro de los dos días hábiles siguientes al consentimiento de la buena pro, la Entidad deberá citar al postor ganador</w:t>
      </w:r>
      <w:r w:rsidR="008215D5" w:rsidRPr="00F871E6">
        <w:rPr>
          <w:rFonts w:ascii="Tahoma" w:hAnsi="Tahoma" w:cs="Tahoma"/>
          <w:i/>
          <w:sz w:val="20"/>
          <w:szCs w:val="20"/>
        </w:rPr>
        <w:t xml:space="preserve">, </w:t>
      </w:r>
      <w:r w:rsidR="008215D5" w:rsidRPr="00F871E6">
        <w:rPr>
          <w:rFonts w:ascii="Tahoma" w:hAnsi="Tahoma" w:cs="Tahoma"/>
          <w:bCs/>
          <w:i/>
          <w:sz w:val="20"/>
          <w:szCs w:val="20"/>
        </w:rPr>
        <w:t>otorgándole un plazo mínimo de cinco días hábiles y máximo de diez días hábiles para suscribir el contrato</w:t>
      </w:r>
      <w:r w:rsidR="008215D5" w:rsidRPr="00F871E6">
        <w:rPr>
          <w:rFonts w:ascii="Tahoma" w:hAnsi="Tahoma" w:cs="Tahoma"/>
          <w:i/>
          <w:sz w:val="20"/>
          <w:szCs w:val="20"/>
        </w:rPr>
        <w:t>.</w:t>
      </w:r>
    </w:p>
    <w:p w:rsidR="001A524C" w:rsidRPr="00F871E6" w:rsidRDefault="001A524C" w:rsidP="008215D5">
      <w:pPr>
        <w:pStyle w:val="Textoindependiente3"/>
        <w:spacing w:after="0"/>
        <w:ind w:left="4248" w:right="179" w:firstLine="708"/>
        <w:jc w:val="both"/>
        <w:rPr>
          <w:rFonts w:ascii="Tahoma" w:hAnsi="Tahoma" w:cs="Tahoma"/>
          <w:b/>
          <w:sz w:val="20"/>
          <w:szCs w:val="20"/>
        </w:rPr>
      </w:pPr>
    </w:p>
    <w:p w:rsidR="001A524C" w:rsidRPr="00F871E6" w:rsidRDefault="001A524C" w:rsidP="008215D5">
      <w:pPr>
        <w:pStyle w:val="Textoindependiente3"/>
        <w:spacing w:after="0"/>
        <w:ind w:left="4248" w:right="179" w:firstLine="708"/>
        <w:jc w:val="both"/>
        <w:rPr>
          <w:rFonts w:ascii="Tahoma" w:hAnsi="Tahoma" w:cs="Tahoma"/>
          <w:sz w:val="20"/>
          <w:szCs w:val="20"/>
        </w:rPr>
      </w:pPr>
      <w:r w:rsidRPr="00F871E6">
        <w:rPr>
          <w:rFonts w:ascii="Tahoma" w:hAnsi="Tahoma" w:cs="Tahoma"/>
          <w:b/>
          <w:sz w:val="20"/>
          <w:szCs w:val="20"/>
        </w:rPr>
        <w:t>Lima</w:t>
      </w:r>
      <w:r w:rsidRPr="00F871E6">
        <w:rPr>
          <w:rFonts w:ascii="Tahoma" w:hAnsi="Tahoma" w:cs="Tahoma"/>
          <w:sz w:val="20"/>
          <w:szCs w:val="20"/>
        </w:rPr>
        <w:t xml:space="preserve">, </w:t>
      </w:r>
      <w:r w:rsidR="004A4A91">
        <w:rPr>
          <w:rFonts w:ascii="Tahoma" w:hAnsi="Tahoma" w:cs="Tahoma"/>
          <w:sz w:val="20"/>
          <w:szCs w:val="20"/>
        </w:rPr>
        <w:t>24 de Junio de 2011</w:t>
      </w:r>
    </w:p>
    <w:p w:rsidR="001A524C" w:rsidRPr="00F871E6" w:rsidRDefault="001A524C" w:rsidP="008215D5">
      <w:pPr>
        <w:pStyle w:val="Textoindependiente3"/>
        <w:spacing w:after="0"/>
        <w:jc w:val="both"/>
        <w:rPr>
          <w:rFonts w:ascii="Tahoma" w:hAnsi="Tahoma" w:cs="Tahoma"/>
          <w:sz w:val="20"/>
          <w:szCs w:val="20"/>
        </w:rPr>
      </w:pPr>
    </w:p>
    <w:p w:rsidR="001A524C" w:rsidRPr="00F871E6" w:rsidRDefault="001A524C" w:rsidP="008215D5">
      <w:pPr>
        <w:spacing w:after="0" w:line="240" w:lineRule="auto"/>
        <w:jc w:val="both"/>
        <w:rPr>
          <w:rFonts w:ascii="Tahoma" w:hAnsi="Tahoma" w:cs="Tahoma"/>
          <w:sz w:val="20"/>
          <w:szCs w:val="20"/>
        </w:rPr>
      </w:pPr>
      <w:r w:rsidRPr="00F871E6">
        <w:rPr>
          <w:rFonts w:ascii="Tahoma" w:hAnsi="Tahoma" w:cs="Tahoma"/>
          <w:b/>
          <w:sz w:val="20"/>
          <w:szCs w:val="20"/>
        </w:rPr>
        <w:t>VISTO</w:t>
      </w:r>
      <w:r w:rsidR="00173D2F" w:rsidRPr="00F871E6">
        <w:rPr>
          <w:rFonts w:ascii="Tahoma" w:hAnsi="Tahoma" w:cs="Tahoma"/>
          <w:sz w:val="20"/>
          <w:szCs w:val="20"/>
        </w:rPr>
        <w:t xml:space="preserve"> en sesión de fecha 20</w:t>
      </w:r>
      <w:r w:rsidRPr="00F871E6">
        <w:rPr>
          <w:rFonts w:ascii="Tahoma" w:hAnsi="Tahoma" w:cs="Tahoma"/>
          <w:sz w:val="20"/>
          <w:szCs w:val="20"/>
        </w:rPr>
        <w:t xml:space="preserve"> de junio de 2011 de la Primera Sala del Tribunal de Contrataciones del Estado el Expediente № </w:t>
      </w:r>
      <w:r w:rsidR="00173D2F" w:rsidRPr="00F871E6">
        <w:rPr>
          <w:rFonts w:ascii="Tahoma" w:hAnsi="Tahoma" w:cs="Tahoma"/>
          <w:sz w:val="20"/>
          <w:szCs w:val="20"/>
        </w:rPr>
        <w:t>210</w:t>
      </w:r>
      <w:r w:rsidRPr="00F871E6">
        <w:rPr>
          <w:rFonts w:ascii="Tahoma" w:hAnsi="Tahoma" w:cs="Tahoma"/>
          <w:sz w:val="20"/>
          <w:szCs w:val="20"/>
        </w:rPr>
        <w:t xml:space="preserve">/2011.TC, sobre el procedimiento administrativo sancionador contra </w:t>
      </w:r>
      <w:r w:rsidRPr="00F871E6">
        <w:rPr>
          <w:rFonts w:ascii="Tahoma" w:hAnsi="Tahoma" w:cs="Tahoma"/>
          <w:sz w:val="20"/>
          <w:szCs w:val="20"/>
          <w:lang w:val="es-PE"/>
        </w:rPr>
        <w:t xml:space="preserve">la empresa </w:t>
      </w:r>
      <w:r w:rsidR="00173D2F" w:rsidRPr="00F871E6">
        <w:rPr>
          <w:rFonts w:ascii="Tahoma" w:hAnsi="Tahoma" w:cs="Tahoma"/>
          <w:sz w:val="20"/>
          <w:szCs w:val="20"/>
        </w:rPr>
        <w:t>ANDREA COMERCIAL S.A.</w:t>
      </w:r>
      <w:r w:rsidRPr="00F871E6">
        <w:rPr>
          <w:rFonts w:ascii="Tahoma" w:hAnsi="Tahoma" w:cs="Tahoma"/>
          <w:sz w:val="20"/>
          <w:szCs w:val="20"/>
        </w:rPr>
        <w:t xml:space="preserve">, </w:t>
      </w:r>
      <w:r w:rsidRPr="00F871E6">
        <w:rPr>
          <w:rFonts w:ascii="Tahoma" w:hAnsi="Tahoma" w:cs="Tahoma"/>
          <w:sz w:val="20"/>
          <w:szCs w:val="20"/>
          <w:lang w:val="es-MX"/>
        </w:rPr>
        <w:t xml:space="preserve">por supuesta responsabilidad en </w:t>
      </w:r>
      <w:r w:rsidR="00173D2F" w:rsidRPr="00F871E6">
        <w:rPr>
          <w:rFonts w:ascii="Tahoma" w:hAnsi="Tahoma" w:cs="Tahoma"/>
          <w:sz w:val="20"/>
          <w:szCs w:val="20"/>
          <w:lang w:val="es-MX"/>
        </w:rPr>
        <w:t xml:space="preserve">haber suscrito injustificadamente el contrato derivado de </w:t>
      </w:r>
      <w:r w:rsidR="00173D2F" w:rsidRPr="00F871E6">
        <w:rPr>
          <w:rFonts w:ascii="Tahoma" w:hAnsi="Tahoma" w:cs="Tahoma"/>
          <w:sz w:val="20"/>
          <w:szCs w:val="20"/>
        </w:rPr>
        <w:t xml:space="preserve">la Adjudicación de Menor Cuantía </w:t>
      </w:r>
      <w:r w:rsidR="00F871E6" w:rsidRPr="00F871E6">
        <w:rPr>
          <w:rFonts w:ascii="Tahoma" w:hAnsi="Tahoma" w:cs="Tahoma"/>
          <w:sz w:val="20"/>
          <w:szCs w:val="20"/>
        </w:rPr>
        <w:br/>
      </w:r>
      <w:r w:rsidR="00173D2F" w:rsidRPr="00F871E6">
        <w:rPr>
          <w:rFonts w:ascii="Tahoma" w:hAnsi="Tahoma" w:cs="Tahoma"/>
          <w:sz w:val="20"/>
          <w:szCs w:val="20"/>
        </w:rPr>
        <w:t>Nº 027-2009-CEP-CSJCU-PJ, cuarta convocatoria</w:t>
      </w:r>
      <w:r w:rsidR="00F871E6" w:rsidRPr="00F871E6">
        <w:rPr>
          <w:rFonts w:ascii="Tahoma" w:hAnsi="Tahoma" w:cs="Tahoma"/>
          <w:sz w:val="20"/>
          <w:szCs w:val="20"/>
        </w:rPr>
        <w:t xml:space="preserve">, efectuada </w:t>
      </w:r>
      <w:r w:rsidR="00F871E6">
        <w:rPr>
          <w:rFonts w:ascii="Tahoma" w:hAnsi="Tahoma" w:cs="Tahoma"/>
          <w:sz w:val="20"/>
          <w:szCs w:val="20"/>
        </w:rPr>
        <w:t xml:space="preserve">por </w:t>
      </w:r>
      <w:r w:rsidR="00F871E6" w:rsidRPr="00F871E6">
        <w:rPr>
          <w:rFonts w:ascii="Tahoma" w:hAnsi="Tahoma" w:cs="Tahoma"/>
          <w:sz w:val="20"/>
          <w:szCs w:val="20"/>
        </w:rPr>
        <w:t>el Poder Judicial</w:t>
      </w:r>
      <w:r w:rsidR="00173D2F" w:rsidRPr="00F871E6">
        <w:rPr>
          <w:rFonts w:ascii="Tahoma" w:hAnsi="Tahoma" w:cs="Tahoma"/>
          <w:sz w:val="20"/>
          <w:szCs w:val="20"/>
        </w:rPr>
        <w:t xml:space="preserve"> para el servicio de escaleras del primer y segundo piso de la Corte Superior de Justicia del Cuzco</w:t>
      </w:r>
      <w:r w:rsidR="00EC70C4">
        <w:rPr>
          <w:rFonts w:ascii="Tahoma" w:hAnsi="Tahoma" w:cs="Tahoma"/>
          <w:sz w:val="20"/>
          <w:szCs w:val="20"/>
        </w:rPr>
        <w:t>, oído el informe oral en la audiencia pública de fecha 16 de junio de 2011</w:t>
      </w:r>
      <w:r w:rsidRPr="00F871E6">
        <w:rPr>
          <w:rFonts w:ascii="Tahoma" w:hAnsi="Tahoma" w:cs="Tahoma"/>
          <w:sz w:val="20"/>
          <w:szCs w:val="20"/>
          <w:lang w:val="es-PE"/>
        </w:rPr>
        <w:t>; y</w:t>
      </w:r>
      <w:r w:rsidRPr="00F871E6">
        <w:rPr>
          <w:rFonts w:ascii="Tahoma" w:hAnsi="Tahoma" w:cs="Tahoma"/>
          <w:sz w:val="20"/>
          <w:szCs w:val="20"/>
        </w:rPr>
        <w:t xml:space="preserve">, atendiendo a los siguientes:   </w:t>
      </w:r>
    </w:p>
    <w:p w:rsidR="001A524C" w:rsidRDefault="001A524C" w:rsidP="008215D5">
      <w:pPr>
        <w:spacing w:after="0" w:line="240" w:lineRule="auto"/>
        <w:ind w:right="45"/>
        <w:jc w:val="both"/>
        <w:rPr>
          <w:rFonts w:ascii="Tahoma" w:hAnsi="Tahoma" w:cs="Tahoma"/>
          <w:sz w:val="20"/>
          <w:szCs w:val="20"/>
        </w:rPr>
      </w:pPr>
    </w:p>
    <w:p w:rsidR="00F871E6" w:rsidRPr="00F871E6" w:rsidRDefault="00F871E6" w:rsidP="008215D5">
      <w:pPr>
        <w:spacing w:after="0" w:line="240" w:lineRule="auto"/>
        <w:ind w:right="45"/>
        <w:jc w:val="both"/>
        <w:rPr>
          <w:rFonts w:ascii="Tahoma" w:hAnsi="Tahoma" w:cs="Tahoma"/>
          <w:sz w:val="20"/>
          <w:szCs w:val="20"/>
        </w:rPr>
      </w:pPr>
    </w:p>
    <w:p w:rsidR="001A524C" w:rsidRPr="00F871E6" w:rsidRDefault="001A524C" w:rsidP="008215D5">
      <w:pPr>
        <w:pStyle w:val="Ttulo2"/>
        <w:jc w:val="both"/>
        <w:rPr>
          <w:rFonts w:cs="Tahoma"/>
          <w:sz w:val="20"/>
        </w:rPr>
      </w:pPr>
      <w:r w:rsidRPr="00F871E6">
        <w:rPr>
          <w:rFonts w:cs="Tahoma"/>
          <w:sz w:val="20"/>
        </w:rPr>
        <w:t>ANTECEDENTES:</w:t>
      </w:r>
    </w:p>
    <w:p w:rsidR="008215D5" w:rsidRDefault="008215D5" w:rsidP="008215D5">
      <w:pPr>
        <w:spacing w:after="0" w:line="240" w:lineRule="auto"/>
        <w:ind w:left="540"/>
        <w:jc w:val="both"/>
        <w:rPr>
          <w:rFonts w:ascii="Tahoma" w:hAnsi="Tahoma" w:cs="Tahoma"/>
          <w:sz w:val="20"/>
          <w:szCs w:val="20"/>
        </w:rPr>
      </w:pPr>
    </w:p>
    <w:p w:rsidR="001A524C" w:rsidRPr="00F871E6" w:rsidRDefault="001A524C" w:rsidP="008215D5">
      <w:pPr>
        <w:numPr>
          <w:ilvl w:val="0"/>
          <w:numId w:val="5"/>
        </w:numPr>
        <w:tabs>
          <w:tab w:val="num" w:pos="540"/>
        </w:tabs>
        <w:spacing w:after="0" w:line="240" w:lineRule="auto"/>
        <w:ind w:left="540" w:hanging="540"/>
        <w:jc w:val="both"/>
        <w:rPr>
          <w:rFonts w:ascii="Tahoma" w:hAnsi="Tahoma" w:cs="Tahoma"/>
          <w:sz w:val="20"/>
          <w:szCs w:val="20"/>
        </w:rPr>
      </w:pPr>
      <w:r w:rsidRPr="00F871E6">
        <w:rPr>
          <w:rFonts w:ascii="Tahoma" w:hAnsi="Tahoma" w:cs="Tahoma"/>
          <w:sz w:val="20"/>
          <w:szCs w:val="20"/>
        </w:rPr>
        <w:t xml:space="preserve">El 09 de abril de 2010, el Poder Judicial, en adelante la Entidad, convocó a la Adjudicación de Menor Cuantía Nº 027-2009-CEP-CSJCU-PJ, cuarta convocatoria,  para el servicio de escaleras del primer y segundo piso de la Corte Superior de Justicia del Cuzco, con un valor referencial de S/. 11,694.00 Nuevos Soles. </w:t>
      </w:r>
    </w:p>
    <w:p w:rsidR="008215D5" w:rsidRPr="00F871E6" w:rsidRDefault="008215D5" w:rsidP="008215D5">
      <w:pPr>
        <w:spacing w:after="0" w:line="240" w:lineRule="auto"/>
        <w:ind w:left="540"/>
        <w:jc w:val="both"/>
        <w:rPr>
          <w:rFonts w:ascii="Tahoma" w:hAnsi="Tahoma" w:cs="Tahoma"/>
          <w:sz w:val="20"/>
          <w:szCs w:val="20"/>
        </w:rPr>
      </w:pPr>
    </w:p>
    <w:p w:rsidR="001A524C" w:rsidRPr="00F871E6" w:rsidRDefault="001A524C" w:rsidP="008215D5">
      <w:pPr>
        <w:numPr>
          <w:ilvl w:val="0"/>
          <w:numId w:val="5"/>
        </w:numPr>
        <w:tabs>
          <w:tab w:val="num" w:pos="540"/>
        </w:tabs>
        <w:spacing w:after="0" w:line="240" w:lineRule="auto"/>
        <w:ind w:left="540" w:hanging="540"/>
        <w:jc w:val="both"/>
        <w:rPr>
          <w:rFonts w:ascii="Tahoma" w:hAnsi="Tahoma" w:cs="Tahoma"/>
          <w:sz w:val="20"/>
          <w:szCs w:val="20"/>
        </w:rPr>
      </w:pPr>
      <w:r w:rsidRPr="00F871E6">
        <w:rPr>
          <w:rFonts w:ascii="Tahoma" w:hAnsi="Tahoma" w:cs="Tahoma"/>
          <w:sz w:val="20"/>
          <w:szCs w:val="20"/>
        </w:rPr>
        <w:t>El 26 de abril de 2010, se llevó a cabo el acto de presentación de propuestas y otorgamiento de la buena pro a favor de la empresa ANDREA COMERCIAL S.A., en adelante el Postor. Dicho otorgamiento fue publicado en el SEACE el 27 del mismo mes y año.</w:t>
      </w:r>
    </w:p>
    <w:p w:rsidR="001A524C" w:rsidRPr="00F871E6" w:rsidRDefault="001A524C" w:rsidP="008215D5">
      <w:pPr>
        <w:pStyle w:val="Prrafodelista"/>
        <w:rPr>
          <w:rFonts w:ascii="Tahoma" w:hAnsi="Tahoma" w:cs="Tahoma"/>
          <w:sz w:val="20"/>
        </w:rPr>
      </w:pPr>
    </w:p>
    <w:p w:rsidR="001A524C" w:rsidRPr="00F871E6" w:rsidRDefault="001A524C" w:rsidP="008215D5">
      <w:pPr>
        <w:spacing w:line="240" w:lineRule="auto"/>
        <w:ind w:left="540"/>
        <w:jc w:val="both"/>
        <w:rPr>
          <w:rFonts w:ascii="Tahoma" w:hAnsi="Tahoma" w:cs="Tahoma"/>
          <w:sz w:val="20"/>
          <w:szCs w:val="20"/>
        </w:rPr>
      </w:pPr>
      <w:r w:rsidRPr="00F871E6">
        <w:rPr>
          <w:rFonts w:ascii="Tahoma" w:hAnsi="Tahoma" w:cs="Tahoma"/>
          <w:sz w:val="20"/>
          <w:szCs w:val="20"/>
        </w:rPr>
        <w:t>Según el acta obrante en el SEACE se presentó dos postores, sin embargo no se identifica el nombre de la otra empresa participante ni el puntaje obtenido.</w:t>
      </w:r>
    </w:p>
    <w:p w:rsidR="001A524C" w:rsidRPr="00F871E6" w:rsidRDefault="001A524C" w:rsidP="008215D5">
      <w:pPr>
        <w:numPr>
          <w:ilvl w:val="0"/>
          <w:numId w:val="5"/>
        </w:numPr>
        <w:tabs>
          <w:tab w:val="num" w:pos="540"/>
        </w:tabs>
        <w:spacing w:after="0" w:line="240" w:lineRule="auto"/>
        <w:ind w:left="540" w:hanging="540"/>
        <w:jc w:val="both"/>
        <w:rPr>
          <w:rFonts w:ascii="Tahoma" w:hAnsi="Tahoma" w:cs="Tahoma"/>
          <w:sz w:val="20"/>
          <w:szCs w:val="20"/>
        </w:rPr>
      </w:pPr>
      <w:r w:rsidRPr="00F871E6">
        <w:rPr>
          <w:rFonts w:ascii="Tahoma" w:hAnsi="Tahoma" w:cs="Tahoma"/>
          <w:sz w:val="20"/>
          <w:szCs w:val="20"/>
        </w:rPr>
        <w:t>Con Carta Nº 013-2010-A-CSJCU-PJ de fecha 29 de abril de 2010, la Entidad comunicó al postor que con fecha 28 de abril había quedado consentida la buena pro, por lo que se le solicitó que en el plazo de tres días remita los siguientes documentos: inscripción en Registros Públicos de la empresa, Vigencia de poderes, y carta indicando el código de cuenta interbancaria.</w:t>
      </w:r>
    </w:p>
    <w:p w:rsidR="001A524C" w:rsidRPr="00F871E6" w:rsidRDefault="001A524C" w:rsidP="008215D5">
      <w:pPr>
        <w:pStyle w:val="Prrafodelista"/>
        <w:rPr>
          <w:rFonts w:ascii="Tahoma" w:hAnsi="Tahoma" w:cs="Tahoma"/>
          <w:sz w:val="20"/>
        </w:rPr>
      </w:pPr>
    </w:p>
    <w:p w:rsidR="001A524C" w:rsidRPr="00F871E6" w:rsidRDefault="001A524C" w:rsidP="008215D5">
      <w:pPr>
        <w:numPr>
          <w:ilvl w:val="0"/>
          <w:numId w:val="5"/>
        </w:numPr>
        <w:tabs>
          <w:tab w:val="num" w:pos="540"/>
        </w:tabs>
        <w:spacing w:after="0" w:line="240" w:lineRule="auto"/>
        <w:ind w:left="540" w:hanging="540"/>
        <w:jc w:val="both"/>
        <w:rPr>
          <w:rFonts w:ascii="Tahoma" w:hAnsi="Tahoma" w:cs="Tahoma"/>
          <w:sz w:val="20"/>
          <w:szCs w:val="20"/>
        </w:rPr>
      </w:pPr>
      <w:r w:rsidRPr="00F871E6">
        <w:rPr>
          <w:rFonts w:ascii="Tahoma" w:hAnsi="Tahoma" w:cs="Tahoma"/>
          <w:sz w:val="20"/>
          <w:szCs w:val="20"/>
        </w:rPr>
        <w:t>Mediante Carta Nº 017-2010-A-CSJCU-PJ de fecha 14 de mayo de 2010, la Entidad requirió con carácter de urgencia la documentación exigida en las bases del proceso, reiterando la remisión de la inscripción de la empresa en registros públicos y la vigencia de poderes con un máximo de 15 días de antigüedad.</w:t>
      </w:r>
    </w:p>
    <w:p w:rsidR="001A524C" w:rsidRPr="00F871E6" w:rsidRDefault="001A524C" w:rsidP="008215D5">
      <w:pPr>
        <w:pStyle w:val="Prrafodelista"/>
        <w:rPr>
          <w:rFonts w:ascii="Tahoma" w:hAnsi="Tahoma" w:cs="Tahoma"/>
          <w:sz w:val="20"/>
        </w:rPr>
      </w:pPr>
    </w:p>
    <w:p w:rsidR="001A524C" w:rsidRPr="00F871E6" w:rsidRDefault="001A524C" w:rsidP="008215D5">
      <w:pPr>
        <w:numPr>
          <w:ilvl w:val="0"/>
          <w:numId w:val="5"/>
        </w:numPr>
        <w:tabs>
          <w:tab w:val="num" w:pos="540"/>
        </w:tabs>
        <w:spacing w:after="0" w:line="240" w:lineRule="auto"/>
        <w:ind w:left="540" w:hanging="540"/>
        <w:jc w:val="both"/>
        <w:rPr>
          <w:rFonts w:ascii="Tahoma" w:hAnsi="Tahoma" w:cs="Tahoma"/>
          <w:sz w:val="20"/>
          <w:szCs w:val="20"/>
        </w:rPr>
      </w:pPr>
      <w:r w:rsidRPr="00F871E6">
        <w:rPr>
          <w:rFonts w:ascii="Tahoma" w:hAnsi="Tahoma" w:cs="Tahoma"/>
          <w:sz w:val="20"/>
          <w:szCs w:val="20"/>
        </w:rPr>
        <w:t>Mediante correo electrónico de fecha 14 de mayo de 2010, La Sra. Luisa Falcón Marina, representante de la Entidad, solicitó al Postor la remisión de documentos necesarios para la suscripción del contrato.</w:t>
      </w:r>
    </w:p>
    <w:p w:rsidR="001A524C" w:rsidRPr="00F871E6" w:rsidRDefault="001A524C" w:rsidP="008215D5">
      <w:pPr>
        <w:pStyle w:val="Prrafodelista"/>
        <w:rPr>
          <w:rFonts w:ascii="Tahoma" w:hAnsi="Tahoma" w:cs="Tahoma"/>
          <w:sz w:val="20"/>
        </w:rPr>
      </w:pPr>
    </w:p>
    <w:p w:rsidR="001A524C" w:rsidRPr="00F871E6" w:rsidRDefault="001A524C" w:rsidP="008215D5">
      <w:pPr>
        <w:numPr>
          <w:ilvl w:val="0"/>
          <w:numId w:val="5"/>
        </w:numPr>
        <w:tabs>
          <w:tab w:val="num" w:pos="540"/>
        </w:tabs>
        <w:spacing w:after="0" w:line="240" w:lineRule="auto"/>
        <w:ind w:left="540" w:hanging="540"/>
        <w:jc w:val="both"/>
        <w:rPr>
          <w:rFonts w:ascii="Tahoma" w:hAnsi="Tahoma" w:cs="Tahoma"/>
          <w:sz w:val="20"/>
          <w:szCs w:val="20"/>
        </w:rPr>
      </w:pPr>
      <w:r w:rsidRPr="00F871E6">
        <w:rPr>
          <w:rFonts w:ascii="Tahoma" w:hAnsi="Tahoma" w:cs="Tahoma"/>
          <w:sz w:val="20"/>
          <w:szCs w:val="20"/>
        </w:rPr>
        <w:t>Con correo electrónico de fecha 14 de mayo de 2010, el Gerente Comercial del Postor le indicó a la Sra. Luisa Falcón, que no se le había remitido ninguna solicitud referida a dichos documentos, pero que habiendo tomado conocimiento, se enviaría lo necesario el lunes 17 de mayo de 2010.</w:t>
      </w:r>
    </w:p>
    <w:p w:rsidR="001A524C" w:rsidRPr="00F871E6" w:rsidRDefault="001A524C" w:rsidP="008215D5">
      <w:pPr>
        <w:pStyle w:val="Prrafodelista"/>
        <w:rPr>
          <w:rFonts w:ascii="Tahoma" w:hAnsi="Tahoma" w:cs="Tahoma"/>
          <w:sz w:val="20"/>
        </w:rPr>
      </w:pPr>
    </w:p>
    <w:p w:rsidR="001A524C" w:rsidRPr="00F871E6" w:rsidRDefault="001A524C" w:rsidP="008215D5">
      <w:pPr>
        <w:numPr>
          <w:ilvl w:val="0"/>
          <w:numId w:val="5"/>
        </w:numPr>
        <w:tabs>
          <w:tab w:val="num" w:pos="540"/>
        </w:tabs>
        <w:spacing w:after="0" w:line="240" w:lineRule="auto"/>
        <w:ind w:left="540" w:hanging="540"/>
        <w:jc w:val="both"/>
        <w:rPr>
          <w:rFonts w:ascii="Tahoma" w:hAnsi="Tahoma" w:cs="Tahoma"/>
          <w:sz w:val="20"/>
          <w:szCs w:val="20"/>
        </w:rPr>
      </w:pPr>
      <w:r w:rsidRPr="00F871E6">
        <w:rPr>
          <w:rFonts w:ascii="Tahoma" w:hAnsi="Tahoma" w:cs="Tahoma"/>
          <w:sz w:val="20"/>
          <w:szCs w:val="20"/>
        </w:rPr>
        <w:t>Con Informe Nº 060-2010-LOG-CSJCU-PJ de fecha 07 de junio de 2010, al no haberse apersonado el postor para la firma del contrato, la asistenta de logística solicitó al administrador de la Entidad declare desierto la convocatoria del proceso de selección.</w:t>
      </w:r>
    </w:p>
    <w:p w:rsidR="001A524C" w:rsidRPr="00F871E6" w:rsidRDefault="001A524C" w:rsidP="008215D5">
      <w:pPr>
        <w:pStyle w:val="Prrafodelista"/>
        <w:rPr>
          <w:rFonts w:ascii="Tahoma" w:hAnsi="Tahoma" w:cs="Tahoma"/>
          <w:sz w:val="20"/>
        </w:rPr>
      </w:pPr>
    </w:p>
    <w:p w:rsidR="001A524C" w:rsidRPr="00F871E6" w:rsidRDefault="001A524C" w:rsidP="008215D5">
      <w:pPr>
        <w:numPr>
          <w:ilvl w:val="0"/>
          <w:numId w:val="5"/>
        </w:numPr>
        <w:tabs>
          <w:tab w:val="num" w:pos="540"/>
        </w:tabs>
        <w:spacing w:after="0" w:line="240" w:lineRule="auto"/>
        <w:ind w:left="540" w:hanging="540"/>
        <w:jc w:val="both"/>
        <w:rPr>
          <w:rFonts w:ascii="Tahoma" w:hAnsi="Tahoma" w:cs="Tahoma"/>
          <w:sz w:val="20"/>
          <w:szCs w:val="20"/>
        </w:rPr>
      </w:pPr>
      <w:r w:rsidRPr="00F871E6">
        <w:rPr>
          <w:rFonts w:ascii="Tahoma" w:hAnsi="Tahoma" w:cs="Tahoma"/>
          <w:sz w:val="20"/>
          <w:szCs w:val="20"/>
        </w:rPr>
        <w:t>Con escrito de fecha 18 de febrero de 2011, la Entidad puso en conocimiento de este Colegiado los hechos expuestos, y en virtud a ello, con decreto de fecha 22 de febrero de 2011, de manera previa al inicio del procedimiento administrativo sancionador, se solicitó a la Entidad que cumpla</w:t>
      </w:r>
      <w:r w:rsidRPr="00F871E6">
        <w:rPr>
          <w:rFonts w:ascii="Tahoma" w:hAnsi="Tahoma" w:cs="Tahoma"/>
          <w:b/>
          <w:bCs/>
          <w:color w:val="000000"/>
          <w:sz w:val="20"/>
          <w:szCs w:val="20"/>
        </w:rPr>
        <w:t xml:space="preserve"> </w:t>
      </w:r>
      <w:r w:rsidRPr="00F871E6">
        <w:rPr>
          <w:rFonts w:ascii="Tahoma" w:hAnsi="Tahoma" w:cs="Tahoma"/>
          <w:color w:val="000000"/>
          <w:sz w:val="20"/>
          <w:szCs w:val="20"/>
        </w:rPr>
        <w:t xml:space="preserve">con subsanar su comunicación, debiendo adjuntar copia legible de la carta que cursara a la empresa </w:t>
      </w:r>
      <w:r w:rsidRPr="00F871E6">
        <w:rPr>
          <w:rFonts w:ascii="Tahoma" w:hAnsi="Tahoma" w:cs="Tahoma"/>
          <w:b/>
          <w:bCs/>
          <w:color w:val="000000"/>
          <w:sz w:val="20"/>
          <w:szCs w:val="20"/>
        </w:rPr>
        <w:t>ANDREA COMERCIAL S.A.</w:t>
      </w:r>
      <w:r w:rsidRPr="00F871E6">
        <w:rPr>
          <w:rFonts w:ascii="Tahoma" w:hAnsi="Tahoma" w:cs="Tahoma"/>
          <w:color w:val="000000"/>
          <w:sz w:val="20"/>
          <w:szCs w:val="20"/>
        </w:rPr>
        <w:t xml:space="preserve">, a través del cual se le citó para suscribir el contrato; dicho documento deberá observarse que </w:t>
      </w:r>
      <w:r w:rsidRPr="00F871E6">
        <w:rPr>
          <w:rFonts w:ascii="Tahoma" w:hAnsi="Tahoma" w:cs="Tahoma"/>
          <w:color w:val="000000"/>
          <w:sz w:val="20"/>
          <w:szCs w:val="20"/>
          <w:u w:val="single"/>
        </w:rPr>
        <w:t>fue debidamente recibido</w:t>
      </w:r>
      <w:r w:rsidRPr="00F871E6">
        <w:rPr>
          <w:rFonts w:ascii="Tahoma" w:hAnsi="Tahoma" w:cs="Tahoma"/>
          <w:color w:val="000000"/>
          <w:sz w:val="20"/>
          <w:szCs w:val="20"/>
        </w:rPr>
        <w:t>, o, de ser el caso, remitir copia del documento mediante el cual la referida empresa autorizó la notificación vía correo electrónico. Sin perjuicio de ello, deberá indicar el número de convocatoria relacionado con la presunta responsabilidad de la empresa denunciada.</w:t>
      </w:r>
    </w:p>
    <w:p w:rsidR="001A524C" w:rsidRPr="00F871E6" w:rsidRDefault="001A524C" w:rsidP="008215D5">
      <w:pPr>
        <w:pStyle w:val="Prrafodelista"/>
        <w:rPr>
          <w:rFonts w:ascii="Tahoma" w:hAnsi="Tahoma" w:cs="Tahoma"/>
          <w:sz w:val="20"/>
        </w:rPr>
      </w:pPr>
    </w:p>
    <w:p w:rsidR="001A524C" w:rsidRPr="00F871E6" w:rsidRDefault="001A524C" w:rsidP="008215D5">
      <w:pPr>
        <w:numPr>
          <w:ilvl w:val="0"/>
          <w:numId w:val="5"/>
        </w:numPr>
        <w:tabs>
          <w:tab w:val="num" w:pos="540"/>
        </w:tabs>
        <w:spacing w:after="0" w:line="240" w:lineRule="auto"/>
        <w:ind w:left="540" w:hanging="540"/>
        <w:jc w:val="both"/>
        <w:rPr>
          <w:rFonts w:ascii="Tahoma" w:hAnsi="Tahoma" w:cs="Tahoma"/>
          <w:sz w:val="20"/>
          <w:szCs w:val="20"/>
        </w:rPr>
      </w:pPr>
      <w:r w:rsidRPr="00F871E6">
        <w:rPr>
          <w:rFonts w:ascii="Tahoma" w:hAnsi="Tahoma" w:cs="Tahoma"/>
          <w:sz w:val="20"/>
          <w:szCs w:val="20"/>
        </w:rPr>
        <w:t>Con Oficio Nº 069-2011-OAL-GG-PJ de fecha 04 de marzo de 2011, la Entidad remitió la información requerida.</w:t>
      </w:r>
    </w:p>
    <w:p w:rsidR="001A524C" w:rsidRPr="00F871E6" w:rsidRDefault="001A524C" w:rsidP="008215D5">
      <w:pPr>
        <w:pStyle w:val="Prrafodelista"/>
        <w:rPr>
          <w:rFonts w:ascii="Tahoma" w:hAnsi="Tahoma" w:cs="Tahoma"/>
          <w:sz w:val="20"/>
        </w:rPr>
      </w:pPr>
    </w:p>
    <w:p w:rsidR="001A524C" w:rsidRPr="00F871E6" w:rsidRDefault="001A524C" w:rsidP="008215D5">
      <w:pPr>
        <w:numPr>
          <w:ilvl w:val="0"/>
          <w:numId w:val="5"/>
        </w:numPr>
        <w:tabs>
          <w:tab w:val="num" w:pos="540"/>
        </w:tabs>
        <w:spacing w:after="0" w:line="240" w:lineRule="auto"/>
        <w:ind w:left="540" w:hanging="540"/>
        <w:jc w:val="both"/>
        <w:rPr>
          <w:rFonts w:ascii="Tahoma" w:hAnsi="Tahoma" w:cs="Tahoma"/>
          <w:sz w:val="20"/>
          <w:szCs w:val="20"/>
        </w:rPr>
      </w:pPr>
      <w:r w:rsidRPr="00F871E6">
        <w:rPr>
          <w:rFonts w:ascii="Tahoma" w:hAnsi="Tahoma" w:cs="Tahoma"/>
          <w:sz w:val="20"/>
          <w:szCs w:val="20"/>
        </w:rPr>
        <w:t>Por Decreto del 09 de marzo de 2011, debidamente notificado el 08 de abril de 2011, el Tribunal inició procedimiento administrativo sancionador al Postor por supuesta responsabilidad en no haber suscrito el Contrato derivado de la Adjudicación de Menor Cuantía Nº 027-2009-CEP-CSJCU-PJ, cuarta convocatoria, infracción tipificada en el numeral 1) literal a) del artículo 51 de la Ley y 237 del Reglamento. En atención a ello, se le emplazó para que formule sus descargos dentro del plazo de diez (10) días hábiles, bajo apercibimiento de resolverse con la documentación obrante en autos.</w:t>
      </w:r>
    </w:p>
    <w:p w:rsidR="001A524C" w:rsidRPr="00F871E6" w:rsidRDefault="001A524C" w:rsidP="008215D5">
      <w:pPr>
        <w:pStyle w:val="Prrafodelista"/>
        <w:jc w:val="both"/>
        <w:rPr>
          <w:rFonts w:ascii="Tahoma" w:hAnsi="Tahoma" w:cs="Tahoma"/>
          <w:sz w:val="20"/>
        </w:rPr>
      </w:pPr>
    </w:p>
    <w:p w:rsidR="001A524C" w:rsidRPr="00F871E6" w:rsidRDefault="001A524C" w:rsidP="008215D5">
      <w:pPr>
        <w:numPr>
          <w:ilvl w:val="0"/>
          <w:numId w:val="5"/>
        </w:numPr>
        <w:tabs>
          <w:tab w:val="num" w:pos="540"/>
        </w:tabs>
        <w:spacing w:after="0" w:line="240" w:lineRule="auto"/>
        <w:ind w:left="540" w:hanging="540"/>
        <w:jc w:val="both"/>
        <w:rPr>
          <w:rFonts w:ascii="Tahoma" w:hAnsi="Tahoma" w:cs="Tahoma"/>
          <w:sz w:val="20"/>
          <w:szCs w:val="20"/>
        </w:rPr>
      </w:pPr>
      <w:r w:rsidRPr="00F871E6">
        <w:rPr>
          <w:rFonts w:ascii="Tahoma" w:hAnsi="Tahoma" w:cs="Tahoma"/>
          <w:sz w:val="20"/>
          <w:szCs w:val="20"/>
        </w:rPr>
        <w:t>Mediante escrito de fecha 26 de abril de 2011, el Postor presentó sus descargos en los siguientes términos:</w:t>
      </w:r>
    </w:p>
    <w:p w:rsidR="001A524C" w:rsidRPr="00F871E6" w:rsidRDefault="001A524C" w:rsidP="008215D5">
      <w:pPr>
        <w:pStyle w:val="Prrafodelista"/>
        <w:jc w:val="both"/>
        <w:rPr>
          <w:rFonts w:ascii="Tahoma" w:hAnsi="Tahoma" w:cs="Tahoma"/>
          <w:sz w:val="20"/>
        </w:rPr>
      </w:pPr>
    </w:p>
    <w:p w:rsidR="001A524C" w:rsidRPr="00F871E6" w:rsidRDefault="001A524C" w:rsidP="008215D5">
      <w:pPr>
        <w:pStyle w:val="Prrafodelista"/>
        <w:widowControl/>
        <w:numPr>
          <w:ilvl w:val="0"/>
          <w:numId w:val="6"/>
        </w:numPr>
        <w:suppressAutoHyphens w:val="0"/>
        <w:ind w:left="1418" w:hanging="284"/>
        <w:jc w:val="both"/>
        <w:rPr>
          <w:rFonts w:ascii="Tahoma" w:hAnsi="Tahoma" w:cs="Tahoma"/>
          <w:sz w:val="20"/>
        </w:rPr>
      </w:pPr>
      <w:r w:rsidRPr="00F871E6">
        <w:rPr>
          <w:rFonts w:ascii="Tahoma" w:hAnsi="Tahoma" w:cs="Tahoma"/>
          <w:sz w:val="20"/>
        </w:rPr>
        <w:t>De conformidad al acta de apertura de sobres y otorgamiento de la buena pro, esta se realizó el 26 de abril de 2010, y el postor fue la única empresa que accedió a la evaluación técnica y económica.</w:t>
      </w:r>
    </w:p>
    <w:p w:rsidR="001A524C" w:rsidRPr="00F871E6" w:rsidRDefault="001A524C" w:rsidP="008215D5">
      <w:pPr>
        <w:pStyle w:val="Prrafodelista"/>
        <w:ind w:left="1418"/>
        <w:jc w:val="both"/>
        <w:rPr>
          <w:rFonts w:ascii="Tahoma" w:hAnsi="Tahoma" w:cs="Tahoma"/>
          <w:sz w:val="20"/>
        </w:rPr>
      </w:pPr>
    </w:p>
    <w:p w:rsidR="001A524C" w:rsidRPr="00F871E6" w:rsidRDefault="001A524C" w:rsidP="008215D5">
      <w:pPr>
        <w:pStyle w:val="Prrafodelista"/>
        <w:widowControl/>
        <w:numPr>
          <w:ilvl w:val="0"/>
          <w:numId w:val="6"/>
        </w:numPr>
        <w:suppressAutoHyphens w:val="0"/>
        <w:ind w:left="1418" w:hanging="284"/>
        <w:jc w:val="both"/>
        <w:rPr>
          <w:rFonts w:ascii="Tahoma" w:hAnsi="Tahoma" w:cs="Tahoma"/>
          <w:sz w:val="20"/>
        </w:rPr>
      </w:pPr>
      <w:r w:rsidRPr="00F871E6">
        <w:rPr>
          <w:rFonts w:ascii="Tahoma" w:hAnsi="Tahoma" w:cs="Tahoma"/>
          <w:sz w:val="20"/>
        </w:rPr>
        <w:t>Según el artículo 75º del Reglamento, cuando se trata de un acto privado, este se entenderá notificado el mismo día de su realización y publicación en el SEACE, y adicionalmente, el artículo 77º del Reglamento establece que cuando se hayan presentado una sola oferta válida, se entenderá por consentida la buena pro en mismo día de su notificación.</w:t>
      </w:r>
    </w:p>
    <w:p w:rsidR="001A524C" w:rsidRPr="00F871E6" w:rsidRDefault="001A524C" w:rsidP="008215D5">
      <w:pPr>
        <w:pStyle w:val="Prrafodelista"/>
        <w:rPr>
          <w:rFonts w:ascii="Tahoma" w:hAnsi="Tahoma" w:cs="Tahoma"/>
          <w:sz w:val="20"/>
        </w:rPr>
      </w:pPr>
    </w:p>
    <w:p w:rsidR="001A524C" w:rsidRPr="00F871E6" w:rsidRDefault="001A524C" w:rsidP="008215D5">
      <w:pPr>
        <w:pStyle w:val="Prrafodelista"/>
        <w:widowControl/>
        <w:numPr>
          <w:ilvl w:val="0"/>
          <w:numId w:val="6"/>
        </w:numPr>
        <w:suppressAutoHyphens w:val="0"/>
        <w:ind w:left="1418" w:hanging="284"/>
        <w:jc w:val="both"/>
        <w:rPr>
          <w:rFonts w:ascii="Tahoma" w:hAnsi="Tahoma" w:cs="Tahoma"/>
          <w:sz w:val="20"/>
        </w:rPr>
      </w:pPr>
      <w:r w:rsidRPr="00F871E6">
        <w:rPr>
          <w:rFonts w:ascii="Tahoma" w:hAnsi="Tahoma" w:cs="Tahoma"/>
          <w:sz w:val="20"/>
        </w:rPr>
        <w:lastRenderedPageBreak/>
        <w:t>El otorgamiento de la buena pro recién se realizó el 27 de abril de 2010 mediante el SEACE, y fue consentida el 29 del mismo mes y año.</w:t>
      </w:r>
    </w:p>
    <w:p w:rsidR="001A524C" w:rsidRPr="00F871E6" w:rsidRDefault="001A524C" w:rsidP="008215D5">
      <w:pPr>
        <w:pStyle w:val="Prrafodelista"/>
        <w:rPr>
          <w:rFonts w:ascii="Tahoma" w:hAnsi="Tahoma" w:cs="Tahoma"/>
          <w:sz w:val="20"/>
        </w:rPr>
      </w:pPr>
    </w:p>
    <w:p w:rsidR="001A524C" w:rsidRPr="00F871E6" w:rsidRDefault="001A524C" w:rsidP="008215D5">
      <w:pPr>
        <w:pStyle w:val="Prrafodelista"/>
        <w:widowControl/>
        <w:numPr>
          <w:ilvl w:val="0"/>
          <w:numId w:val="6"/>
        </w:numPr>
        <w:suppressAutoHyphens w:val="0"/>
        <w:ind w:left="1418" w:hanging="284"/>
        <w:jc w:val="both"/>
        <w:rPr>
          <w:rFonts w:ascii="Tahoma" w:hAnsi="Tahoma" w:cs="Tahoma"/>
          <w:sz w:val="20"/>
        </w:rPr>
      </w:pPr>
      <w:r w:rsidRPr="00F871E6">
        <w:rPr>
          <w:rFonts w:ascii="Tahoma" w:hAnsi="Tahoma" w:cs="Tahoma"/>
          <w:sz w:val="20"/>
        </w:rPr>
        <w:t>La Entidad publicó el consentimiento de la buena pro el 29 de abril de 2010, cuando este se produjo y debió realizarse el 26 del mismo mes, o en su defecto el 27 de abril ya que existía una sola oferta.</w:t>
      </w:r>
    </w:p>
    <w:p w:rsidR="001A524C" w:rsidRPr="00F871E6" w:rsidRDefault="001A524C" w:rsidP="008215D5">
      <w:pPr>
        <w:pStyle w:val="Prrafodelista"/>
        <w:rPr>
          <w:rFonts w:ascii="Tahoma" w:hAnsi="Tahoma" w:cs="Tahoma"/>
          <w:sz w:val="20"/>
        </w:rPr>
      </w:pPr>
    </w:p>
    <w:p w:rsidR="001A524C" w:rsidRPr="00F871E6" w:rsidRDefault="001A524C" w:rsidP="008215D5">
      <w:pPr>
        <w:pStyle w:val="Prrafodelista"/>
        <w:widowControl/>
        <w:numPr>
          <w:ilvl w:val="0"/>
          <w:numId w:val="6"/>
        </w:numPr>
        <w:suppressAutoHyphens w:val="0"/>
        <w:ind w:left="1418" w:hanging="284"/>
        <w:jc w:val="both"/>
        <w:rPr>
          <w:rFonts w:ascii="Tahoma" w:hAnsi="Tahoma" w:cs="Tahoma"/>
          <w:sz w:val="20"/>
        </w:rPr>
      </w:pPr>
      <w:r w:rsidRPr="00F871E6">
        <w:rPr>
          <w:rFonts w:ascii="Tahoma" w:hAnsi="Tahoma" w:cs="Tahoma"/>
          <w:sz w:val="20"/>
        </w:rPr>
        <w:t>Al haberse consentido la buena pro el día 26 de abril de 2010 o máximo el 27 de dicho mes, la Entidad debió hacer llegar una comunicación a mas tardar el día 29 del mismo mes para la suscripción del contrato respectivo.</w:t>
      </w:r>
    </w:p>
    <w:p w:rsidR="001A524C" w:rsidRPr="00F871E6" w:rsidRDefault="001A524C" w:rsidP="008215D5">
      <w:pPr>
        <w:pStyle w:val="Prrafodelista"/>
        <w:rPr>
          <w:rFonts w:ascii="Tahoma" w:hAnsi="Tahoma" w:cs="Tahoma"/>
          <w:sz w:val="20"/>
        </w:rPr>
      </w:pPr>
    </w:p>
    <w:p w:rsidR="001A524C" w:rsidRPr="00F871E6" w:rsidRDefault="001A524C" w:rsidP="008215D5">
      <w:pPr>
        <w:pStyle w:val="Prrafodelista"/>
        <w:widowControl/>
        <w:numPr>
          <w:ilvl w:val="0"/>
          <w:numId w:val="6"/>
        </w:numPr>
        <w:suppressAutoHyphens w:val="0"/>
        <w:ind w:left="1418" w:hanging="284"/>
        <w:jc w:val="both"/>
        <w:rPr>
          <w:rFonts w:ascii="Tahoma" w:hAnsi="Tahoma" w:cs="Tahoma"/>
          <w:sz w:val="20"/>
        </w:rPr>
      </w:pPr>
      <w:r w:rsidRPr="00F871E6">
        <w:rPr>
          <w:rFonts w:ascii="Tahoma" w:hAnsi="Tahoma" w:cs="Tahoma"/>
          <w:sz w:val="20"/>
        </w:rPr>
        <w:t>Este hecho no sucedió según lo dispuesto por la norma de contrataciones, pues según el reporte de la empresa SERPOST, del seguimiento de envío Nº 1741275 (Carta Nº 013-2010-A-CSJCU-PJ) se indica que el 29 de abril esa comunicación fue despachada y enviada por la administración al cusco.</w:t>
      </w:r>
    </w:p>
    <w:p w:rsidR="001A524C" w:rsidRPr="00F871E6" w:rsidRDefault="001A524C" w:rsidP="008215D5">
      <w:pPr>
        <w:pStyle w:val="Prrafodelista"/>
        <w:rPr>
          <w:rFonts w:ascii="Tahoma" w:hAnsi="Tahoma" w:cs="Tahoma"/>
          <w:sz w:val="20"/>
        </w:rPr>
      </w:pPr>
    </w:p>
    <w:p w:rsidR="001A524C" w:rsidRPr="00F871E6" w:rsidRDefault="001A524C" w:rsidP="008215D5">
      <w:pPr>
        <w:pStyle w:val="Prrafodelista"/>
        <w:widowControl/>
        <w:numPr>
          <w:ilvl w:val="0"/>
          <w:numId w:val="6"/>
        </w:numPr>
        <w:suppressAutoHyphens w:val="0"/>
        <w:ind w:left="1418" w:hanging="284"/>
        <w:jc w:val="both"/>
        <w:rPr>
          <w:rFonts w:ascii="Tahoma" w:hAnsi="Tahoma" w:cs="Tahoma"/>
          <w:sz w:val="20"/>
        </w:rPr>
      </w:pPr>
      <w:r w:rsidRPr="00F871E6">
        <w:rPr>
          <w:rFonts w:ascii="Tahoma" w:hAnsi="Tahoma" w:cs="Tahoma"/>
          <w:sz w:val="20"/>
        </w:rPr>
        <w:t>Por ello, al no haber cumplido con los plazos correspondientes, se solicita se le exima de sanción administrativa.</w:t>
      </w:r>
    </w:p>
    <w:p w:rsidR="001A524C" w:rsidRPr="00F871E6" w:rsidRDefault="001A524C" w:rsidP="008215D5">
      <w:pPr>
        <w:pStyle w:val="Prrafodelista"/>
        <w:ind w:left="1418"/>
        <w:jc w:val="both"/>
        <w:rPr>
          <w:rFonts w:ascii="Tahoma" w:hAnsi="Tahoma" w:cs="Tahoma"/>
          <w:sz w:val="20"/>
        </w:rPr>
      </w:pPr>
    </w:p>
    <w:p w:rsidR="001A524C" w:rsidRPr="00F871E6" w:rsidRDefault="001A524C" w:rsidP="008215D5">
      <w:pPr>
        <w:numPr>
          <w:ilvl w:val="0"/>
          <w:numId w:val="5"/>
        </w:numPr>
        <w:tabs>
          <w:tab w:val="num" w:pos="540"/>
        </w:tabs>
        <w:spacing w:after="0" w:line="240" w:lineRule="auto"/>
        <w:ind w:left="540" w:hanging="540"/>
        <w:jc w:val="both"/>
        <w:rPr>
          <w:rFonts w:ascii="Tahoma" w:hAnsi="Tahoma" w:cs="Tahoma"/>
          <w:sz w:val="20"/>
          <w:szCs w:val="20"/>
        </w:rPr>
      </w:pPr>
      <w:r w:rsidRPr="00F871E6">
        <w:rPr>
          <w:rFonts w:ascii="Tahoma" w:hAnsi="Tahoma" w:cs="Tahoma"/>
          <w:sz w:val="20"/>
          <w:szCs w:val="20"/>
        </w:rPr>
        <w:t>Por decreto de fecha 29 de abril de 2011, el Tribunal tuvo por apersonado al Contratista, por presentado sus descargos, por señalado su domicilio procesal, sito en: Av. Arenales Nº 2632, Oficina 9B Lince; y Asimismo, se remitió el expediente a la Primera Sala del Tribunal para que continúe con el procedimiento según su estado.</w:t>
      </w:r>
    </w:p>
    <w:p w:rsidR="008215D5" w:rsidRPr="00F871E6" w:rsidRDefault="008215D5" w:rsidP="008215D5">
      <w:pPr>
        <w:spacing w:after="0" w:line="240" w:lineRule="auto"/>
        <w:ind w:left="540"/>
        <w:jc w:val="both"/>
        <w:rPr>
          <w:rFonts w:ascii="Tahoma" w:hAnsi="Tahoma" w:cs="Tahoma"/>
          <w:sz w:val="20"/>
          <w:szCs w:val="20"/>
        </w:rPr>
      </w:pPr>
    </w:p>
    <w:p w:rsidR="001A524C" w:rsidRPr="00F871E6" w:rsidRDefault="001A524C" w:rsidP="008215D5">
      <w:pPr>
        <w:numPr>
          <w:ilvl w:val="0"/>
          <w:numId w:val="5"/>
        </w:numPr>
        <w:tabs>
          <w:tab w:val="num" w:pos="540"/>
        </w:tabs>
        <w:spacing w:after="0" w:line="240" w:lineRule="auto"/>
        <w:ind w:left="540" w:hanging="540"/>
        <w:jc w:val="both"/>
        <w:rPr>
          <w:rFonts w:ascii="Tahoma" w:hAnsi="Tahoma" w:cs="Tahoma"/>
          <w:sz w:val="20"/>
          <w:szCs w:val="20"/>
        </w:rPr>
      </w:pPr>
      <w:r w:rsidRPr="00F871E6">
        <w:rPr>
          <w:rFonts w:ascii="Tahoma" w:hAnsi="Tahoma" w:cs="Tahoma"/>
          <w:sz w:val="20"/>
          <w:szCs w:val="20"/>
        </w:rPr>
        <w:t>El día 16 de junio de 2011, se programó la diligencia de audiencia pública, la misma que se llevó a cabo con la participación del representante del Postor.</w:t>
      </w:r>
    </w:p>
    <w:p w:rsidR="001A524C" w:rsidRPr="00F871E6" w:rsidRDefault="001A524C" w:rsidP="008215D5">
      <w:pPr>
        <w:pStyle w:val="Prrafodelista"/>
        <w:rPr>
          <w:rFonts w:ascii="Tahoma" w:hAnsi="Tahoma" w:cs="Tahoma"/>
          <w:sz w:val="20"/>
        </w:rPr>
      </w:pPr>
    </w:p>
    <w:p w:rsidR="001A524C" w:rsidRPr="00F871E6" w:rsidRDefault="001A524C" w:rsidP="008215D5">
      <w:pPr>
        <w:numPr>
          <w:ilvl w:val="0"/>
          <w:numId w:val="5"/>
        </w:numPr>
        <w:tabs>
          <w:tab w:val="num" w:pos="540"/>
        </w:tabs>
        <w:spacing w:after="0" w:line="240" w:lineRule="auto"/>
        <w:ind w:left="540" w:hanging="540"/>
        <w:jc w:val="both"/>
        <w:rPr>
          <w:rFonts w:ascii="Tahoma" w:hAnsi="Tahoma" w:cs="Tahoma"/>
          <w:sz w:val="20"/>
          <w:szCs w:val="20"/>
        </w:rPr>
      </w:pPr>
      <w:r w:rsidRPr="00F871E6">
        <w:rPr>
          <w:rFonts w:ascii="Tahoma" w:hAnsi="Tahoma" w:cs="Tahoma"/>
          <w:sz w:val="20"/>
          <w:szCs w:val="20"/>
        </w:rPr>
        <w:t>Con escrito de fecha 17 de junio de 2011, el Postor reiteró los argumentos presentados en sus descargos.</w:t>
      </w:r>
    </w:p>
    <w:p w:rsidR="001A524C" w:rsidRDefault="001A524C" w:rsidP="008215D5">
      <w:pPr>
        <w:pStyle w:val="NormalWeb"/>
        <w:tabs>
          <w:tab w:val="num" w:pos="900"/>
        </w:tabs>
        <w:spacing w:before="0" w:beforeAutospacing="0" w:after="0" w:afterAutospacing="0"/>
        <w:jc w:val="both"/>
        <w:rPr>
          <w:rFonts w:ascii="Tahoma" w:hAnsi="Tahoma" w:cs="Tahoma"/>
          <w:sz w:val="20"/>
          <w:szCs w:val="20"/>
          <w:highlight w:val="yellow"/>
        </w:rPr>
      </w:pPr>
    </w:p>
    <w:p w:rsidR="00F871E6" w:rsidRPr="00F871E6" w:rsidRDefault="00F871E6" w:rsidP="008215D5">
      <w:pPr>
        <w:pStyle w:val="NormalWeb"/>
        <w:tabs>
          <w:tab w:val="num" w:pos="900"/>
        </w:tabs>
        <w:spacing w:before="0" w:beforeAutospacing="0" w:after="0" w:afterAutospacing="0"/>
        <w:jc w:val="both"/>
        <w:rPr>
          <w:rFonts w:ascii="Tahoma" w:hAnsi="Tahoma" w:cs="Tahoma"/>
          <w:sz w:val="20"/>
          <w:szCs w:val="20"/>
          <w:highlight w:val="yellow"/>
        </w:rPr>
      </w:pPr>
    </w:p>
    <w:p w:rsidR="001A524C" w:rsidRPr="00F871E6" w:rsidRDefault="001A524C" w:rsidP="008215D5">
      <w:pPr>
        <w:tabs>
          <w:tab w:val="num" w:pos="9720"/>
        </w:tabs>
        <w:spacing w:after="0" w:line="240" w:lineRule="auto"/>
        <w:jc w:val="both"/>
        <w:rPr>
          <w:rFonts w:ascii="Tahoma" w:hAnsi="Tahoma" w:cs="Tahoma"/>
          <w:b/>
          <w:sz w:val="20"/>
          <w:szCs w:val="20"/>
        </w:rPr>
      </w:pPr>
      <w:r w:rsidRPr="00F871E6">
        <w:rPr>
          <w:rFonts w:ascii="Tahoma" w:hAnsi="Tahoma" w:cs="Tahoma"/>
          <w:b/>
          <w:sz w:val="20"/>
          <w:szCs w:val="20"/>
        </w:rPr>
        <w:t>FUNDAMENTACIÓN:</w:t>
      </w:r>
    </w:p>
    <w:p w:rsidR="008215D5" w:rsidRPr="00F871E6" w:rsidRDefault="008215D5" w:rsidP="008215D5">
      <w:pPr>
        <w:spacing w:after="0" w:line="240" w:lineRule="auto"/>
        <w:ind w:left="540"/>
        <w:jc w:val="both"/>
        <w:rPr>
          <w:rFonts w:ascii="Tahoma" w:hAnsi="Tahoma" w:cs="Tahoma"/>
          <w:sz w:val="20"/>
          <w:szCs w:val="20"/>
          <w:lang w:val="es-ES_tradnl"/>
        </w:rPr>
      </w:pPr>
    </w:p>
    <w:p w:rsidR="001A524C" w:rsidRPr="00F871E6" w:rsidRDefault="001A524C" w:rsidP="008215D5">
      <w:pPr>
        <w:numPr>
          <w:ilvl w:val="1"/>
          <w:numId w:val="7"/>
        </w:numPr>
        <w:tabs>
          <w:tab w:val="clear" w:pos="1080"/>
          <w:tab w:val="num" w:pos="540"/>
        </w:tabs>
        <w:spacing w:after="0" w:line="240" w:lineRule="auto"/>
        <w:ind w:left="540" w:hanging="540"/>
        <w:jc w:val="both"/>
        <w:rPr>
          <w:rFonts w:ascii="Tahoma" w:hAnsi="Tahoma" w:cs="Tahoma"/>
          <w:sz w:val="20"/>
          <w:szCs w:val="20"/>
          <w:lang w:val="es-ES_tradnl"/>
        </w:rPr>
      </w:pPr>
      <w:r w:rsidRPr="00F871E6">
        <w:rPr>
          <w:rFonts w:ascii="Tahoma" w:hAnsi="Tahoma" w:cs="Tahoma"/>
          <w:sz w:val="20"/>
          <w:szCs w:val="20"/>
        </w:rPr>
        <w:t xml:space="preserve"> Es materia del presente procedimiento administrativo sancionador, la supuesta responsabilidad de la empresa ANDREA COMERCIAL S.A., </w:t>
      </w:r>
      <w:r w:rsidRPr="00F871E6">
        <w:rPr>
          <w:rFonts w:ascii="Tahoma" w:hAnsi="Tahoma" w:cs="Tahoma"/>
          <w:sz w:val="20"/>
          <w:szCs w:val="20"/>
          <w:lang w:eastAsia="es-PE"/>
        </w:rPr>
        <w:t xml:space="preserve">consistente en </w:t>
      </w:r>
      <w:r w:rsidRPr="00F871E6">
        <w:rPr>
          <w:rFonts w:ascii="Tahoma" w:hAnsi="Tahoma" w:cs="Tahoma"/>
          <w:sz w:val="20"/>
          <w:szCs w:val="20"/>
        </w:rPr>
        <w:t>no haber suscrito injustificadamente el contrato, a pesar de haber resultado ganador del otorgamiento de la buena pro de la Adjudicación de Menor Cuantía Nº 027-2009-CEP-CSJCU-PJ</w:t>
      </w:r>
      <w:r w:rsidRPr="00F871E6">
        <w:rPr>
          <w:rFonts w:ascii="Tahoma" w:hAnsi="Tahoma" w:cs="Tahoma"/>
          <w:sz w:val="20"/>
          <w:szCs w:val="20"/>
          <w:lang w:eastAsia="es-PE"/>
        </w:rPr>
        <w:t>;</w:t>
      </w:r>
      <w:r w:rsidRPr="00F871E6">
        <w:rPr>
          <w:rFonts w:ascii="Tahoma" w:hAnsi="Tahoma" w:cs="Tahoma"/>
          <w:sz w:val="20"/>
          <w:szCs w:val="20"/>
        </w:rPr>
        <w:t xml:space="preserve"> infracción tipificada en el literal a) del numeral 51.1) del artículo 51 de la Ley de Contrataciones del Estado, aprobado mediante Decreto Legislativo Nº 1017, en adelante la Ley; y en el literal a) del numeral 1 del artículo 237 del Reglamento de la Ley de Contrataciones del Estado, aprobada mediante Decreto Supremo Nº 184-2008-EF, en lo sucesivo el Reglamento, norma vigente al suscitarse los hechos. </w:t>
      </w:r>
    </w:p>
    <w:p w:rsidR="008215D5" w:rsidRPr="00F871E6" w:rsidRDefault="008215D5" w:rsidP="008215D5">
      <w:pPr>
        <w:spacing w:after="0" w:line="240" w:lineRule="auto"/>
        <w:ind w:left="540"/>
        <w:jc w:val="both"/>
        <w:rPr>
          <w:rFonts w:ascii="Tahoma" w:hAnsi="Tahoma" w:cs="Tahoma"/>
          <w:sz w:val="20"/>
          <w:szCs w:val="20"/>
          <w:lang w:val="es-ES_tradnl"/>
        </w:rPr>
      </w:pPr>
    </w:p>
    <w:p w:rsidR="001A524C" w:rsidRPr="00F871E6" w:rsidRDefault="001A524C" w:rsidP="008215D5">
      <w:pPr>
        <w:numPr>
          <w:ilvl w:val="1"/>
          <w:numId w:val="7"/>
        </w:numPr>
        <w:tabs>
          <w:tab w:val="clear" w:pos="1080"/>
          <w:tab w:val="num" w:pos="540"/>
        </w:tabs>
        <w:spacing w:after="0" w:line="240" w:lineRule="auto"/>
        <w:ind w:left="540" w:hanging="540"/>
        <w:jc w:val="both"/>
        <w:rPr>
          <w:rFonts w:ascii="Tahoma" w:hAnsi="Tahoma" w:cs="Tahoma"/>
          <w:sz w:val="20"/>
          <w:szCs w:val="20"/>
          <w:lang w:val="es-ES_tradnl"/>
        </w:rPr>
      </w:pPr>
      <w:r w:rsidRPr="00F871E6">
        <w:rPr>
          <w:rFonts w:ascii="Tahoma" w:hAnsi="Tahoma" w:cs="Tahoma"/>
          <w:sz w:val="20"/>
          <w:szCs w:val="20"/>
        </w:rPr>
        <w:t>En principio, cabe precisar que con el otorgamiento de la buena pro se genera el derecho del postor ganador del proceso de celebrar el contrato con la Entidad. Sin embargo, la suscripción del contrato, además de un derecho, constituye una obligación del postor, quien como participante del proceso de selección, asume el compromiso de mantener la seriedad de su oferta hasta la suscripción de contrato respectivo.</w:t>
      </w:r>
    </w:p>
    <w:p w:rsidR="008215D5" w:rsidRPr="00F871E6" w:rsidRDefault="008215D5" w:rsidP="008215D5">
      <w:pPr>
        <w:spacing w:after="0" w:line="240" w:lineRule="auto"/>
        <w:ind w:left="540"/>
        <w:jc w:val="both"/>
        <w:rPr>
          <w:rFonts w:ascii="Tahoma" w:hAnsi="Tahoma" w:cs="Tahoma"/>
          <w:sz w:val="20"/>
          <w:szCs w:val="20"/>
          <w:lang w:val="es-ES_tradnl"/>
        </w:rPr>
      </w:pPr>
    </w:p>
    <w:p w:rsidR="001A524C" w:rsidRPr="00F871E6" w:rsidRDefault="001A524C" w:rsidP="008215D5">
      <w:pPr>
        <w:numPr>
          <w:ilvl w:val="1"/>
          <w:numId w:val="7"/>
        </w:numPr>
        <w:tabs>
          <w:tab w:val="clear" w:pos="1080"/>
          <w:tab w:val="num" w:pos="540"/>
        </w:tabs>
        <w:spacing w:after="0" w:line="240" w:lineRule="auto"/>
        <w:ind w:left="540" w:hanging="540"/>
        <w:jc w:val="both"/>
        <w:rPr>
          <w:rFonts w:ascii="Tahoma" w:hAnsi="Tahoma" w:cs="Tahoma"/>
          <w:sz w:val="20"/>
          <w:szCs w:val="20"/>
          <w:lang w:val="es-ES_tradnl"/>
        </w:rPr>
      </w:pPr>
      <w:r w:rsidRPr="00F871E6">
        <w:rPr>
          <w:rFonts w:ascii="Tahoma" w:hAnsi="Tahoma" w:cs="Tahoma"/>
          <w:sz w:val="20"/>
          <w:szCs w:val="20"/>
        </w:rPr>
        <w:lastRenderedPageBreak/>
        <w:t xml:space="preserve">En ese sentido, de conformidad con lo establecido en el artículo 137 del Reglamento de la Ley de Contrataciones del Estado, aprobado por Decreto Supremo Nº 184-2008-EF, en adelante el Reglamento, una vez que el otorgamiento de la buena pro ha quedado consentido o administrativamente firme, tanto la Entidad como el o los postores ganadores </w:t>
      </w:r>
      <w:r w:rsidRPr="00F871E6">
        <w:rPr>
          <w:rFonts w:ascii="Tahoma" w:hAnsi="Tahoma" w:cs="Tahoma"/>
          <w:b/>
          <w:bCs/>
          <w:sz w:val="20"/>
          <w:szCs w:val="20"/>
          <w:u w:val="single"/>
        </w:rPr>
        <w:t>están obligados a suscribir el o los contratos respectivos</w:t>
      </w:r>
      <w:r w:rsidRPr="00F871E6">
        <w:rPr>
          <w:rFonts w:ascii="Tahoma" w:hAnsi="Tahoma" w:cs="Tahoma"/>
          <w:sz w:val="20"/>
          <w:szCs w:val="20"/>
        </w:rPr>
        <w:t>.</w:t>
      </w:r>
    </w:p>
    <w:p w:rsidR="008215D5" w:rsidRPr="00F871E6" w:rsidRDefault="008215D5" w:rsidP="008215D5">
      <w:pPr>
        <w:spacing w:after="0" w:line="240" w:lineRule="auto"/>
        <w:ind w:left="540"/>
        <w:jc w:val="both"/>
        <w:rPr>
          <w:rFonts w:ascii="Tahoma" w:hAnsi="Tahoma" w:cs="Tahoma"/>
          <w:sz w:val="20"/>
          <w:szCs w:val="20"/>
          <w:lang w:val="es-ES_tradnl"/>
        </w:rPr>
      </w:pPr>
    </w:p>
    <w:p w:rsidR="001A524C" w:rsidRPr="00F871E6" w:rsidRDefault="001A524C" w:rsidP="008215D5">
      <w:pPr>
        <w:numPr>
          <w:ilvl w:val="1"/>
          <w:numId w:val="7"/>
        </w:numPr>
        <w:tabs>
          <w:tab w:val="clear" w:pos="1080"/>
          <w:tab w:val="num" w:pos="540"/>
        </w:tabs>
        <w:spacing w:after="0" w:line="240" w:lineRule="auto"/>
        <w:ind w:left="540" w:hanging="540"/>
        <w:jc w:val="both"/>
        <w:rPr>
          <w:rFonts w:ascii="Tahoma" w:hAnsi="Tahoma" w:cs="Tahoma"/>
          <w:sz w:val="20"/>
          <w:szCs w:val="20"/>
          <w:lang w:val="es-ES_tradnl"/>
        </w:rPr>
      </w:pPr>
      <w:r w:rsidRPr="00F871E6">
        <w:rPr>
          <w:rFonts w:ascii="Tahoma" w:hAnsi="Tahoma" w:cs="Tahoma"/>
          <w:sz w:val="20"/>
          <w:szCs w:val="20"/>
        </w:rPr>
        <w:t xml:space="preserve">Como parte de dicha obligación, </w:t>
      </w:r>
      <w:r w:rsidRPr="00F871E6">
        <w:rPr>
          <w:rFonts w:ascii="Tahoma" w:hAnsi="Tahoma" w:cs="Tahoma"/>
          <w:b/>
          <w:bCs/>
          <w:sz w:val="20"/>
          <w:szCs w:val="20"/>
        </w:rPr>
        <w:t>compete a la Entidad y al postor adjudicatario observar el procedimiento establecido en el artículo 148 del Reglamento</w:t>
      </w:r>
      <w:r w:rsidRPr="00F871E6">
        <w:rPr>
          <w:rFonts w:ascii="Tahoma" w:hAnsi="Tahoma" w:cs="Tahoma"/>
          <w:sz w:val="20"/>
          <w:szCs w:val="20"/>
        </w:rPr>
        <w:t xml:space="preserve"> para el perfeccionamiento del contrato.</w:t>
      </w:r>
    </w:p>
    <w:p w:rsidR="008215D5" w:rsidRPr="00F871E6" w:rsidRDefault="008215D5" w:rsidP="008215D5">
      <w:pPr>
        <w:spacing w:after="0" w:line="240" w:lineRule="auto"/>
        <w:ind w:left="540"/>
        <w:jc w:val="both"/>
        <w:rPr>
          <w:rFonts w:ascii="Tahoma" w:hAnsi="Tahoma" w:cs="Tahoma"/>
          <w:sz w:val="20"/>
          <w:szCs w:val="20"/>
          <w:lang w:val="es-ES_tradnl"/>
        </w:rPr>
      </w:pPr>
    </w:p>
    <w:p w:rsidR="008215D5" w:rsidRPr="00F871E6" w:rsidRDefault="001A524C" w:rsidP="008215D5">
      <w:pPr>
        <w:numPr>
          <w:ilvl w:val="1"/>
          <w:numId w:val="7"/>
        </w:numPr>
        <w:tabs>
          <w:tab w:val="clear" w:pos="1080"/>
          <w:tab w:val="num" w:pos="540"/>
        </w:tabs>
        <w:spacing w:after="0" w:line="240" w:lineRule="auto"/>
        <w:ind w:left="540" w:hanging="540"/>
        <w:jc w:val="both"/>
        <w:rPr>
          <w:rFonts w:ascii="Tahoma" w:hAnsi="Tahoma" w:cs="Tahoma"/>
          <w:sz w:val="20"/>
          <w:szCs w:val="20"/>
          <w:lang w:val="es-ES_tradnl"/>
        </w:rPr>
      </w:pPr>
      <w:r w:rsidRPr="00F871E6">
        <w:rPr>
          <w:rFonts w:ascii="Tahoma" w:hAnsi="Tahoma" w:cs="Tahoma"/>
          <w:sz w:val="20"/>
          <w:szCs w:val="20"/>
        </w:rPr>
        <w:t xml:space="preserve">El procedimiento para suscribir el contrato ha sido previsto en el numeral 1) del artículo 148 del Reglamento, el cual dispone que </w:t>
      </w:r>
      <w:r w:rsidRPr="00F871E6">
        <w:rPr>
          <w:rFonts w:ascii="Tahoma" w:hAnsi="Tahoma" w:cs="Tahoma"/>
          <w:b/>
          <w:bCs/>
          <w:sz w:val="20"/>
          <w:szCs w:val="20"/>
        </w:rPr>
        <w:t>dentro de los dos (2) días hábiles siguientes al consentimiento de la buena pro, la Entidad deberá citar al postor ganador</w:t>
      </w:r>
      <w:r w:rsidRPr="00F871E6">
        <w:rPr>
          <w:rFonts w:ascii="Tahoma" w:hAnsi="Tahoma" w:cs="Tahoma"/>
          <w:sz w:val="20"/>
          <w:szCs w:val="20"/>
        </w:rPr>
        <w:t xml:space="preserve">, </w:t>
      </w:r>
      <w:r w:rsidRPr="00F871E6">
        <w:rPr>
          <w:rFonts w:ascii="Tahoma" w:hAnsi="Tahoma" w:cs="Tahoma"/>
          <w:b/>
          <w:bCs/>
          <w:sz w:val="20"/>
          <w:szCs w:val="20"/>
        </w:rPr>
        <w:t>otorgándole un plazo mínimo de cinco (5) días hábiles y máximo de diez (10) días hábiles para suscribir el contrato</w:t>
      </w:r>
      <w:r w:rsidRPr="00F871E6">
        <w:rPr>
          <w:rFonts w:ascii="Tahoma" w:hAnsi="Tahoma" w:cs="Tahoma"/>
          <w:sz w:val="20"/>
          <w:szCs w:val="20"/>
        </w:rPr>
        <w:t>.  No obstante, si dicho postor tuviera antes del plazo mínimo establecido la documentación completa requerida, podrá presentarse a suscribir el contrato. El citado dispositivo reglamentario precisa que, en caso de que el postor no se presente dentro del plazo otorgado, perderá automáticamente la buena pro, sin perjuicio de la imposición administrativamente aplicable.</w:t>
      </w:r>
    </w:p>
    <w:p w:rsidR="008215D5" w:rsidRPr="00F871E6" w:rsidRDefault="008215D5" w:rsidP="008215D5">
      <w:pPr>
        <w:pStyle w:val="Prrafodelista"/>
        <w:rPr>
          <w:rFonts w:ascii="Tahoma" w:hAnsi="Tahoma" w:cs="Tahoma"/>
          <w:sz w:val="20"/>
        </w:rPr>
      </w:pPr>
    </w:p>
    <w:p w:rsidR="001A524C" w:rsidRPr="00F871E6" w:rsidRDefault="001A524C" w:rsidP="008215D5">
      <w:pPr>
        <w:spacing w:after="0" w:line="240" w:lineRule="auto"/>
        <w:ind w:left="540"/>
        <w:jc w:val="both"/>
        <w:rPr>
          <w:rFonts w:ascii="Tahoma" w:hAnsi="Tahoma" w:cs="Tahoma"/>
          <w:sz w:val="20"/>
          <w:szCs w:val="20"/>
          <w:lang w:val="es-ES_tradnl"/>
        </w:rPr>
      </w:pPr>
      <w:r w:rsidRPr="00F871E6">
        <w:rPr>
          <w:rFonts w:ascii="Tahoma" w:hAnsi="Tahoma" w:cs="Tahoma"/>
          <w:sz w:val="20"/>
          <w:szCs w:val="20"/>
        </w:rPr>
        <w:t xml:space="preserve">El cumplimiento de este procedimiento es </w:t>
      </w:r>
      <w:r w:rsidRPr="00F871E6">
        <w:rPr>
          <w:rFonts w:ascii="Tahoma" w:hAnsi="Tahoma" w:cs="Tahoma"/>
          <w:b/>
          <w:bCs/>
          <w:i/>
          <w:iCs/>
          <w:sz w:val="20"/>
          <w:szCs w:val="20"/>
        </w:rPr>
        <w:t>condición necesaria</w:t>
      </w:r>
      <w:r w:rsidRPr="00F871E6">
        <w:rPr>
          <w:rFonts w:ascii="Tahoma" w:hAnsi="Tahoma" w:cs="Tahoma"/>
          <w:sz w:val="20"/>
          <w:szCs w:val="20"/>
        </w:rPr>
        <w:t xml:space="preserve"> para evaluar la existencia de eventuales responsabilidades por la comisión de la infracción tipificada en el numeral 51.1) literal a) del artículo 51 de la Ley y numeral 1) literal a) del artículo 237 del Reglamento.</w:t>
      </w:r>
    </w:p>
    <w:p w:rsidR="008215D5" w:rsidRPr="00F871E6" w:rsidRDefault="008215D5" w:rsidP="008215D5">
      <w:pPr>
        <w:spacing w:after="0" w:line="240" w:lineRule="auto"/>
        <w:ind w:left="540"/>
        <w:jc w:val="both"/>
        <w:rPr>
          <w:rFonts w:ascii="Tahoma" w:hAnsi="Tahoma" w:cs="Tahoma"/>
          <w:sz w:val="20"/>
          <w:szCs w:val="20"/>
          <w:lang w:val="es-ES_tradnl"/>
        </w:rPr>
      </w:pPr>
    </w:p>
    <w:p w:rsidR="001A524C" w:rsidRPr="00F871E6" w:rsidRDefault="001A524C" w:rsidP="008215D5">
      <w:pPr>
        <w:numPr>
          <w:ilvl w:val="1"/>
          <w:numId w:val="7"/>
        </w:numPr>
        <w:tabs>
          <w:tab w:val="clear" w:pos="1080"/>
          <w:tab w:val="num" w:pos="540"/>
        </w:tabs>
        <w:spacing w:after="0" w:line="240" w:lineRule="auto"/>
        <w:ind w:left="540" w:hanging="540"/>
        <w:jc w:val="both"/>
        <w:rPr>
          <w:rFonts w:ascii="Tahoma" w:hAnsi="Tahoma" w:cs="Tahoma"/>
          <w:sz w:val="20"/>
          <w:szCs w:val="20"/>
          <w:lang w:val="es-ES_tradnl"/>
        </w:rPr>
      </w:pPr>
      <w:r w:rsidRPr="00F871E6">
        <w:rPr>
          <w:rFonts w:ascii="Tahoma" w:hAnsi="Tahoma" w:cs="Tahoma"/>
          <w:sz w:val="20"/>
          <w:szCs w:val="20"/>
        </w:rPr>
        <w:t>Este criterio ha sido recogido, además, en el Acuerdo de Sala Plena N.º 007/2009</w:t>
      </w:r>
      <w:r w:rsidRPr="00F871E6">
        <w:rPr>
          <w:rStyle w:val="Refdenotaalpie"/>
          <w:rFonts w:ascii="Tahoma" w:hAnsi="Tahoma" w:cs="Tahoma"/>
          <w:sz w:val="20"/>
          <w:szCs w:val="20"/>
        </w:rPr>
        <w:footnoteReference w:id="2"/>
      </w:r>
      <w:r w:rsidRPr="00F871E6">
        <w:rPr>
          <w:rFonts w:ascii="Tahoma" w:hAnsi="Tahoma" w:cs="Tahoma"/>
          <w:sz w:val="20"/>
          <w:szCs w:val="20"/>
        </w:rPr>
        <w:t xml:space="preserve"> del 25 de junio de 2009, en el que, por mayoría, se dispuso que </w:t>
      </w:r>
      <w:r w:rsidRPr="00F871E6">
        <w:rPr>
          <w:rFonts w:ascii="Tahoma" w:hAnsi="Tahoma" w:cs="Tahoma"/>
          <w:i/>
          <w:iCs/>
          <w:sz w:val="20"/>
          <w:szCs w:val="20"/>
        </w:rPr>
        <w:t>“(…) en los casos en se comunique la no suscripción injustificada el contrato, las Entidades están obligadas a cumplir y observar estrictamente los plazos y el procedimiento establecido en la normativa para llevar a cabo dicha suscripción, procedimiento cuya inobservancia acarrea la exención de responsabilidad del postor, debiendo declararse no ha lugar la imposición de Sanción o el no ha lugar el inicio del procedimiento administrativo sancionador, sin perjuicio de la responsabilidad administrativa de los funcionarios responsables”</w:t>
      </w:r>
      <w:r w:rsidRPr="00F871E6">
        <w:rPr>
          <w:rFonts w:ascii="Tahoma" w:hAnsi="Tahoma" w:cs="Tahoma"/>
          <w:sz w:val="20"/>
          <w:szCs w:val="20"/>
        </w:rPr>
        <w:t>.</w:t>
      </w:r>
    </w:p>
    <w:p w:rsidR="008215D5" w:rsidRPr="00F871E6" w:rsidRDefault="008215D5" w:rsidP="008215D5">
      <w:pPr>
        <w:spacing w:line="240" w:lineRule="auto"/>
        <w:ind w:left="720"/>
        <w:rPr>
          <w:rFonts w:ascii="Tahoma" w:hAnsi="Tahoma" w:cs="Tahoma"/>
          <w:b/>
          <w:bCs/>
          <w:i/>
          <w:iCs/>
          <w:sz w:val="20"/>
          <w:szCs w:val="20"/>
        </w:rPr>
      </w:pPr>
    </w:p>
    <w:p w:rsidR="001A524C" w:rsidRPr="00F871E6" w:rsidRDefault="001A524C" w:rsidP="008215D5">
      <w:pPr>
        <w:spacing w:line="240" w:lineRule="auto"/>
        <w:ind w:left="720"/>
        <w:rPr>
          <w:rFonts w:ascii="Tahoma" w:hAnsi="Tahoma" w:cs="Tahoma"/>
          <w:b/>
          <w:bCs/>
          <w:i/>
          <w:iCs/>
          <w:sz w:val="20"/>
          <w:szCs w:val="20"/>
        </w:rPr>
      </w:pPr>
      <w:r w:rsidRPr="00F871E6">
        <w:rPr>
          <w:rFonts w:ascii="Tahoma" w:hAnsi="Tahoma" w:cs="Tahoma"/>
          <w:b/>
          <w:bCs/>
          <w:i/>
          <w:iCs/>
          <w:sz w:val="20"/>
          <w:szCs w:val="20"/>
        </w:rPr>
        <w:t>Acerca de las formalidades seguidas por la Entidad para suscribir el contrato</w:t>
      </w:r>
    </w:p>
    <w:p w:rsidR="001A524C" w:rsidRPr="00F871E6" w:rsidRDefault="001A524C" w:rsidP="008215D5">
      <w:pPr>
        <w:numPr>
          <w:ilvl w:val="1"/>
          <w:numId w:val="7"/>
        </w:numPr>
        <w:tabs>
          <w:tab w:val="clear" w:pos="1080"/>
          <w:tab w:val="num" w:pos="540"/>
        </w:tabs>
        <w:spacing w:after="0" w:line="240" w:lineRule="auto"/>
        <w:ind w:left="540" w:hanging="540"/>
        <w:jc w:val="both"/>
        <w:rPr>
          <w:rFonts w:ascii="Tahoma" w:hAnsi="Tahoma" w:cs="Tahoma"/>
          <w:sz w:val="20"/>
          <w:szCs w:val="20"/>
          <w:lang w:val="es-ES_tradnl"/>
        </w:rPr>
      </w:pPr>
      <w:r w:rsidRPr="00F871E6">
        <w:rPr>
          <w:rFonts w:ascii="Tahoma" w:hAnsi="Tahoma" w:cs="Tahoma"/>
          <w:sz w:val="20"/>
          <w:szCs w:val="20"/>
        </w:rPr>
        <w:t xml:space="preserve">Fluye de los antecedentes reseñados que en acto privado efectuado el 26 de abril de 2010, el Comité Especial otorgó la buena pro a la empresa ANDREA COMERCIAL S.A. Por tanto, de conformidad con lo dispuesto en el artículo 75º del Reglamento, el mismo se entiende notificado a todos los postores el día de su publicación en el SEACE, esto es el 27 de abril de 2010; y siendo que, de conformidad con el artículo 77º del Reglamento, al haberse presentado dos ofertas, según lo consignado en el acta de otorgamiento de la buena pro,  el consentimiento de la buena pro se produjo a los 05 días de su notificación, es decir el </w:t>
      </w:r>
      <w:r w:rsidRPr="00F871E6">
        <w:rPr>
          <w:rFonts w:ascii="Tahoma" w:hAnsi="Tahoma" w:cs="Tahoma"/>
          <w:sz w:val="20"/>
          <w:szCs w:val="20"/>
          <w:u w:val="single"/>
        </w:rPr>
        <w:t>04 de mayo de 2010.</w:t>
      </w:r>
    </w:p>
    <w:p w:rsidR="008215D5" w:rsidRPr="00F871E6" w:rsidRDefault="008215D5" w:rsidP="008215D5">
      <w:pPr>
        <w:spacing w:after="0" w:line="240" w:lineRule="auto"/>
        <w:ind w:left="540"/>
        <w:jc w:val="both"/>
        <w:rPr>
          <w:rFonts w:ascii="Tahoma" w:hAnsi="Tahoma" w:cs="Tahoma"/>
          <w:sz w:val="20"/>
          <w:szCs w:val="20"/>
          <w:lang w:val="es-ES_tradnl"/>
        </w:rPr>
      </w:pPr>
    </w:p>
    <w:p w:rsidR="001A524C" w:rsidRPr="00F871E6" w:rsidRDefault="001A524C" w:rsidP="008215D5">
      <w:pPr>
        <w:numPr>
          <w:ilvl w:val="1"/>
          <w:numId w:val="7"/>
        </w:numPr>
        <w:tabs>
          <w:tab w:val="clear" w:pos="1080"/>
          <w:tab w:val="num" w:pos="540"/>
        </w:tabs>
        <w:spacing w:after="0" w:line="240" w:lineRule="auto"/>
        <w:ind w:left="540" w:hanging="540"/>
        <w:jc w:val="both"/>
        <w:rPr>
          <w:rFonts w:ascii="Tahoma" w:hAnsi="Tahoma" w:cs="Tahoma"/>
          <w:sz w:val="20"/>
          <w:szCs w:val="20"/>
          <w:lang w:val="es-ES_tradnl"/>
        </w:rPr>
      </w:pPr>
      <w:r w:rsidRPr="00F871E6">
        <w:rPr>
          <w:rFonts w:ascii="Tahoma" w:hAnsi="Tahoma" w:cs="Tahoma"/>
          <w:sz w:val="20"/>
          <w:szCs w:val="20"/>
        </w:rPr>
        <w:lastRenderedPageBreak/>
        <w:t xml:space="preserve">En ese orden de ideas, la Entidad debió citar al Postor dentro de los dos (2) días hábiles siguientes al consentimiento de la buena pro, esto es, </w:t>
      </w:r>
      <w:r w:rsidRPr="00F871E6">
        <w:rPr>
          <w:rFonts w:ascii="Tahoma" w:hAnsi="Tahoma" w:cs="Tahoma"/>
          <w:sz w:val="20"/>
          <w:szCs w:val="20"/>
          <w:u w:val="single"/>
        </w:rPr>
        <w:t>hasta el 06 de mayo de 2010</w:t>
      </w:r>
      <w:r w:rsidRPr="00F871E6">
        <w:rPr>
          <w:rFonts w:ascii="Tahoma" w:hAnsi="Tahoma" w:cs="Tahoma"/>
          <w:sz w:val="20"/>
          <w:szCs w:val="20"/>
        </w:rPr>
        <w:t xml:space="preserve">, otorgándole como dispone el artículo 148º del Reglamento, </w:t>
      </w:r>
      <w:r w:rsidRPr="00F871E6">
        <w:rPr>
          <w:rFonts w:ascii="Tahoma" w:hAnsi="Tahoma" w:cs="Tahoma"/>
          <w:b/>
          <w:bCs/>
          <w:sz w:val="20"/>
          <w:szCs w:val="20"/>
        </w:rPr>
        <w:t>un plazo no menor de cinco (5) días hábiles ni mayor de diez (10) días hábiles</w:t>
      </w:r>
      <w:r w:rsidRPr="00F871E6">
        <w:rPr>
          <w:rFonts w:ascii="Tahoma" w:hAnsi="Tahoma" w:cs="Tahoma"/>
          <w:sz w:val="20"/>
          <w:szCs w:val="20"/>
        </w:rPr>
        <w:t>, dentro del cual deberá presentarse a la sede de la Entidad para suscribir el contrato.</w:t>
      </w:r>
    </w:p>
    <w:p w:rsidR="001A524C" w:rsidRPr="00F871E6" w:rsidRDefault="001A524C" w:rsidP="008215D5">
      <w:pPr>
        <w:pStyle w:val="Prrafodelista"/>
        <w:rPr>
          <w:rFonts w:ascii="Tahoma" w:hAnsi="Tahoma" w:cs="Tahoma"/>
          <w:sz w:val="20"/>
        </w:rPr>
      </w:pPr>
    </w:p>
    <w:p w:rsidR="001A524C" w:rsidRPr="00F871E6" w:rsidRDefault="001A524C" w:rsidP="008215D5">
      <w:pPr>
        <w:numPr>
          <w:ilvl w:val="1"/>
          <w:numId w:val="7"/>
        </w:numPr>
        <w:tabs>
          <w:tab w:val="clear" w:pos="1080"/>
          <w:tab w:val="num" w:pos="540"/>
        </w:tabs>
        <w:spacing w:after="0" w:line="240" w:lineRule="auto"/>
        <w:ind w:left="540" w:hanging="540"/>
        <w:jc w:val="both"/>
        <w:rPr>
          <w:rFonts w:ascii="Tahoma" w:hAnsi="Tahoma" w:cs="Tahoma"/>
          <w:sz w:val="20"/>
          <w:szCs w:val="20"/>
          <w:lang w:val="es-ES_tradnl"/>
        </w:rPr>
      </w:pPr>
      <w:r w:rsidRPr="00F871E6">
        <w:rPr>
          <w:rFonts w:ascii="Tahoma" w:hAnsi="Tahoma" w:cs="Tahoma"/>
          <w:sz w:val="20"/>
          <w:szCs w:val="20"/>
        </w:rPr>
        <w:t xml:space="preserve">De la revisión a los antecedentes obrantes en el presente expediente,  </w:t>
      </w:r>
      <w:r w:rsidRPr="00F871E6">
        <w:rPr>
          <w:rFonts w:ascii="Tahoma" w:hAnsi="Tahoma" w:cs="Tahoma"/>
          <w:sz w:val="20"/>
          <w:szCs w:val="20"/>
          <w:lang w:val="es-ES_tradnl"/>
        </w:rPr>
        <w:t xml:space="preserve">se puede constatar que la Entidad citó al postor para la suscripción del contrato mediante la Carta Nº 013-2010-A-CSJCU-PJ  de fecha 29 de abril de 2010, en la cual le indicó </w:t>
      </w:r>
      <w:r w:rsidRPr="00F871E6">
        <w:rPr>
          <w:rFonts w:ascii="Tahoma" w:hAnsi="Tahoma" w:cs="Tahoma"/>
          <w:sz w:val="20"/>
          <w:szCs w:val="20"/>
        </w:rPr>
        <w:t>que en el plazo de tres (3) días remita los siguientes documentos: inscripción en Registros Públicos de la empresa, Vigencia de poderes, y carta indicando el código de cuenta interbancaria</w:t>
      </w:r>
    </w:p>
    <w:p w:rsidR="001A524C" w:rsidRPr="00F871E6" w:rsidRDefault="001A524C" w:rsidP="008215D5">
      <w:pPr>
        <w:pStyle w:val="Prrafodelista"/>
        <w:rPr>
          <w:rFonts w:ascii="Tahoma" w:hAnsi="Tahoma" w:cs="Tahoma"/>
          <w:sz w:val="20"/>
        </w:rPr>
      </w:pPr>
    </w:p>
    <w:p w:rsidR="001A524C" w:rsidRPr="00F871E6" w:rsidRDefault="001A524C" w:rsidP="008215D5">
      <w:pPr>
        <w:spacing w:line="240" w:lineRule="auto"/>
        <w:ind w:left="539"/>
        <w:jc w:val="both"/>
        <w:rPr>
          <w:rFonts w:ascii="Tahoma" w:hAnsi="Tahoma" w:cs="Tahoma"/>
          <w:sz w:val="20"/>
          <w:szCs w:val="20"/>
          <w:lang w:val="es-ES_tradnl"/>
        </w:rPr>
      </w:pPr>
      <w:r w:rsidRPr="00F871E6">
        <w:rPr>
          <w:rFonts w:ascii="Tahoma" w:hAnsi="Tahoma" w:cs="Tahoma"/>
          <w:sz w:val="20"/>
          <w:szCs w:val="20"/>
          <w:lang w:val="es-ES_tradnl"/>
        </w:rPr>
        <w:t>Dicha comunicación fue remitida vía SERPOST S.A. con número de trámite 1741275</w:t>
      </w:r>
      <w:r w:rsidRPr="00F871E6">
        <w:rPr>
          <w:rStyle w:val="Refdenotaalpie"/>
          <w:rFonts w:ascii="Tahoma" w:hAnsi="Tahoma" w:cs="Tahoma"/>
          <w:sz w:val="20"/>
          <w:szCs w:val="20"/>
        </w:rPr>
        <w:footnoteReference w:id="3"/>
      </w:r>
      <w:r w:rsidRPr="00F871E6">
        <w:rPr>
          <w:rFonts w:ascii="Tahoma" w:hAnsi="Tahoma" w:cs="Tahoma"/>
          <w:sz w:val="20"/>
          <w:szCs w:val="20"/>
        </w:rPr>
        <w:t>,</w:t>
      </w:r>
      <w:r w:rsidRPr="00F871E6">
        <w:rPr>
          <w:rFonts w:ascii="Tahoma" w:hAnsi="Tahoma" w:cs="Tahoma"/>
          <w:sz w:val="20"/>
          <w:szCs w:val="20"/>
          <w:lang w:val="es-ES_tradnl"/>
        </w:rPr>
        <w:t xml:space="preserve"> pudiendo verificarse en la correspondiente Hoja de Envío que esta fue enviada para su notificación el mismo 29 de abril, no obstante , no obra cargo de recepción por parte del destinatario.</w:t>
      </w:r>
    </w:p>
    <w:p w:rsidR="001A524C" w:rsidRPr="00F871E6" w:rsidRDefault="001A524C" w:rsidP="008215D5">
      <w:pPr>
        <w:numPr>
          <w:ilvl w:val="1"/>
          <w:numId w:val="7"/>
        </w:numPr>
        <w:tabs>
          <w:tab w:val="clear" w:pos="1080"/>
          <w:tab w:val="num" w:pos="540"/>
        </w:tabs>
        <w:spacing w:after="0" w:line="240" w:lineRule="auto"/>
        <w:ind w:left="540" w:hanging="540"/>
        <w:jc w:val="both"/>
        <w:rPr>
          <w:rFonts w:ascii="Tahoma" w:hAnsi="Tahoma" w:cs="Tahoma"/>
          <w:sz w:val="20"/>
          <w:szCs w:val="20"/>
          <w:lang w:val="es-ES_tradnl"/>
        </w:rPr>
      </w:pPr>
      <w:r w:rsidRPr="00F871E6">
        <w:rPr>
          <w:rFonts w:ascii="Tahoma" w:hAnsi="Tahoma" w:cs="Tahoma"/>
          <w:sz w:val="20"/>
          <w:szCs w:val="20"/>
          <w:lang w:val="es-ES_tradnl"/>
        </w:rPr>
        <w:t>Al respecto, debe indicarse que en relación a este acto de diligenciamiento este colegiado ha identificado las siguientes irregularidades:</w:t>
      </w:r>
    </w:p>
    <w:p w:rsidR="001A524C" w:rsidRPr="00F871E6" w:rsidRDefault="001A524C" w:rsidP="008215D5">
      <w:pPr>
        <w:pStyle w:val="Prrafodelista"/>
        <w:ind w:left="1260"/>
        <w:jc w:val="both"/>
        <w:rPr>
          <w:rFonts w:ascii="Tahoma" w:hAnsi="Tahoma" w:cs="Tahoma"/>
          <w:sz w:val="20"/>
        </w:rPr>
      </w:pPr>
    </w:p>
    <w:p w:rsidR="001A524C" w:rsidRPr="00F871E6" w:rsidRDefault="001A524C" w:rsidP="008215D5">
      <w:pPr>
        <w:pStyle w:val="Prrafodelista"/>
        <w:widowControl/>
        <w:numPr>
          <w:ilvl w:val="0"/>
          <w:numId w:val="8"/>
        </w:numPr>
        <w:suppressAutoHyphens w:val="0"/>
        <w:jc w:val="both"/>
        <w:rPr>
          <w:rFonts w:ascii="Tahoma" w:hAnsi="Tahoma" w:cs="Tahoma"/>
          <w:sz w:val="20"/>
        </w:rPr>
      </w:pPr>
      <w:r w:rsidRPr="00F871E6">
        <w:rPr>
          <w:rFonts w:ascii="Tahoma" w:hAnsi="Tahoma" w:cs="Tahoma"/>
          <w:sz w:val="20"/>
        </w:rPr>
        <w:t>El plazo otorgado al postor para la remisión de los documentos necesarios para la firma del contrato no es conforme al artículo 148º del Reglamento, pues sólo se le ha brindado 3 días para tales efectos, cuando el precepto normativo antes señalado dispone expresamente que el plazo debe ser no menor a cinco (05) días ni mayor a 10 días, limites que no tiene excepción y debe ser respetados expresamente por las Entidades.</w:t>
      </w:r>
    </w:p>
    <w:p w:rsidR="001A524C" w:rsidRPr="00F871E6" w:rsidRDefault="001A524C" w:rsidP="008215D5">
      <w:pPr>
        <w:pStyle w:val="Prrafodelista"/>
        <w:ind w:left="1260"/>
        <w:jc w:val="both"/>
        <w:rPr>
          <w:rFonts w:ascii="Tahoma" w:hAnsi="Tahoma" w:cs="Tahoma"/>
          <w:sz w:val="20"/>
        </w:rPr>
      </w:pPr>
    </w:p>
    <w:p w:rsidR="001A524C" w:rsidRPr="00F871E6" w:rsidRDefault="001A524C" w:rsidP="008215D5">
      <w:pPr>
        <w:pStyle w:val="Prrafodelista"/>
        <w:widowControl/>
        <w:numPr>
          <w:ilvl w:val="0"/>
          <w:numId w:val="8"/>
        </w:numPr>
        <w:suppressAutoHyphens w:val="0"/>
        <w:jc w:val="both"/>
        <w:rPr>
          <w:rFonts w:ascii="Tahoma" w:hAnsi="Tahoma" w:cs="Tahoma"/>
          <w:sz w:val="20"/>
        </w:rPr>
      </w:pPr>
      <w:r w:rsidRPr="00F871E6">
        <w:rPr>
          <w:rFonts w:ascii="Tahoma" w:hAnsi="Tahoma" w:cs="Tahoma"/>
          <w:sz w:val="20"/>
        </w:rPr>
        <w:t>Por otro lado, la carta de citación fue enviada el 29 de abril de 2010, es decir, en el segundo día del consentimiento de la buena pro, sin respetar el plazo dispuesto en el artículo 77º del Reglamento de la Ley de Contrataciones, pues al existir dos propuestas presentadas, el consentimiento se producirá a los cinco (5) días hábiles de notificado el otorgamiento de la buena pro en el SEACE, sin que el Postor haga ejercicio de su derecho de impugnación a través del recurso de apelación.</w:t>
      </w:r>
    </w:p>
    <w:p w:rsidR="001A524C" w:rsidRPr="00F871E6" w:rsidRDefault="001A524C" w:rsidP="008215D5">
      <w:pPr>
        <w:pStyle w:val="Prrafodelista"/>
        <w:rPr>
          <w:rFonts w:ascii="Tahoma" w:hAnsi="Tahoma" w:cs="Tahoma"/>
          <w:sz w:val="20"/>
        </w:rPr>
      </w:pPr>
    </w:p>
    <w:p w:rsidR="001A524C" w:rsidRPr="00F871E6" w:rsidRDefault="001A524C" w:rsidP="008215D5">
      <w:pPr>
        <w:pStyle w:val="Prrafodelista"/>
        <w:widowControl/>
        <w:numPr>
          <w:ilvl w:val="0"/>
          <w:numId w:val="8"/>
        </w:numPr>
        <w:suppressAutoHyphens w:val="0"/>
        <w:jc w:val="both"/>
        <w:rPr>
          <w:rFonts w:ascii="Tahoma" w:hAnsi="Tahoma" w:cs="Tahoma"/>
          <w:sz w:val="20"/>
        </w:rPr>
      </w:pPr>
      <w:r w:rsidRPr="00F871E6">
        <w:rPr>
          <w:rFonts w:ascii="Tahoma" w:hAnsi="Tahoma" w:cs="Tahoma"/>
          <w:sz w:val="20"/>
        </w:rPr>
        <w:t>Así también, la Hoja de envío remitida por la empresa  de mensajería SERPOST S.A. no ostenta el cargo de recepción por parte del postor, y al adolecer de uno de los requisitos para ser considerada una notificación válida, al no tenerse certeza si dicha misiva fue efectivamente cursada o no.</w:t>
      </w:r>
    </w:p>
    <w:p w:rsidR="001A524C" w:rsidRPr="00F871E6" w:rsidRDefault="001A524C" w:rsidP="008215D5">
      <w:pPr>
        <w:spacing w:line="240" w:lineRule="auto"/>
        <w:ind w:left="540"/>
        <w:jc w:val="both"/>
        <w:rPr>
          <w:rFonts w:ascii="Tahoma" w:hAnsi="Tahoma" w:cs="Tahoma"/>
          <w:sz w:val="20"/>
          <w:szCs w:val="20"/>
          <w:lang w:val="es-ES_tradnl"/>
        </w:rPr>
      </w:pPr>
    </w:p>
    <w:p w:rsidR="001A524C" w:rsidRPr="00F871E6" w:rsidRDefault="001A524C" w:rsidP="008215D5">
      <w:pPr>
        <w:numPr>
          <w:ilvl w:val="1"/>
          <w:numId w:val="7"/>
        </w:numPr>
        <w:tabs>
          <w:tab w:val="clear" w:pos="1080"/>
          <w:tab w:val="num" w:pos="540"/>
        </w:tabs>
        <w:spacing w:after="0" w:line="240" w:lineRule="auto"/>
        <w:ind w:left="540" w:hanging="540"/>
        <w:jc w:val="both"/>
        <w:rPr>
          <w:rFonts w:ascii="Tahoma" w:hAnsi="Tahoma" w:cs="Tahoma"/>
          <w:sz w:val="20"/>
          <w:szCs w:val="20"/>
          <w:lang w:val="es-ES_tradnl"/>
        </w:rPr>
      </w:pPr>
      <w:r w:rsidRPr="00F871E6">
        <w:rPr>
          <w:rFonts w:ascii="Tahoma" w:hAnsi="Tahoma" w:cs="Tahoma"/>
          <w:sz w:val="20"/>
          <w:szCs w:val="20"/>
        </w:rPr>
        <w:t>En razón a lo expuesto, se advierte que la Entidad no observó el procedimiento para la suscripción del contrato</w:t>
      </w:r>
      <w:r w:rsidRPr="00F871E6">
        <w:rPr>
          <w:rStyle w:val="Refdenotaalpie"/>
          <w:rFonts w:ascii="Tahoma" w:hAnsi="Tahoma" w:cs="Tahoma"/>
          <w:sz w:val="20"/>
          <w:szCs w:val="20"/>
        </w:rPr>
        <w:footnoteReference w:id="4"/>
      </w:r>
      <w:r w:rsidRPr="00F871E6">
        <w:rPr>
          <w:rFonts w:ascii="Tahoma" w:hAnsi="Tahoma" w:cs="Tahoma"/>
          <w:sz w:val="20"/>
          <w:szCs w:val="20"/>
        </w:rPr>
        <w:t xml:space="preserve">, por cuanto no solo otorgó al postor un plazo menor al </w:t>
      </w:r>
      <w:r w:rsidRPr="00F871E6">
        <w:rPr>
          <w:rFonts w:ascii="Tahoma" w:hAnsi="Tahoma" w:cs="Tahoma"/>
          <w:sz w:val="20"/>
          <w:szCs w:val="20"/>
        </w:rPr>
        <w:lastRenderedPageBreak/>
        <w:t>contemplado en la normativa que rige las contrataciones para la celebración de dicho acto jurídico; sino que realizó dicho trámite antes del consentimiento de la buena pro, es decir, prematuramente.</w:t>
      </w:r>
    </w:p>
    <w:p w:rsidR="008215D5" w:rsidRPr="00F871E6" w:rsidRDefault="008215D5" w:rsidP="008215D5">
      <w:pPr>
        <w:spacing w:after="0" w:line="240" w:lineRule="auto"/>
        <w:ind w:left="540"/>
        <w:jc w:val="both"/>
        <w:rPr>
          <w:rFonts w:ascii="Tahoma" w:hAnsi="Tahoma" w:cs="Tahoma"/>
          <w:sz w:val="20"/>
          <w:szCs w:val="20"/>
          <w:lang w:val="es-ES_tradnl"/>
        </w:rPr>
      </w:pPr>
    </w:p>
    <w:p w:rsidR="001A524C" w:rsidRPr="00F871E6" w:rsidRDefault="001A524C" w:rsidP="008215D5">
      <w:pPr>
        <w:numPr>
          <w:ilvl w:val="1"/>
          <w:numId w:val="7"/>
        </w:numPr>
        <w:tabs>
          <w:tab w:val="clear" w:pos="1080"/>
          <w:tab w:val="num" w:pos="540"/>
        </w:tabs>
        <w:spacing w:after="0" w:line="240" w:lineRule="auto"/>
        <w:ind w:left="540" w:hanging="540"/>
        <w:jc w:val="both"/>
        <w:rPr>
          <w:rFonts w:ascii="Tahoma" w:hAnsi="Tahoma" w:cs="Tahoma"/>
          <w:sz w:val="20"/>
          <w:szCs w:val="20"/>
          <w:lang w:val="es-ES_tradnl"/>
        </w:rPr>
      </w:pPr>
      <w:r w:rsidRPr="00F871E6">
        <w:rPr>
          <w:rFonts w:ascii="Tahoma" w:hAnsi="Tahoma" w:cs="Tahoma"/>
          <w:sz w:val="20"/>
          <w:szCs w:val="20"/>
          <w:lang w:val="es-ES_tradnl"/>
        </w:rPr>
        <w:t xml:space="preserve">Sin perjuicio de lo descrito, debe señalarse que la Entidad remitió la Carta Nº 017-2010-A-CSJCU-PJ al Contratista el 14 de mayo de 2010 y fue notificada, según sello de recepción en la hoja de envío, el 17 de mayo de 2010, mediante la cual reitera la obligación de suscribir el contrato con la documentación correspondiente, sin señalarse un nuevo plazo,  para dichos efectos. </w:t>
      </w:r>
    </w:p>
    <w:p w:rsidR="001A524C" w:rsidRPr="00F871E6" w:rsidRDefault="001A524C" w:rsidP="008215D5">
      <w:pPr>
        <w:pStyle w:val="Prrafodelista"/>
        <w:rPr>
          <w:rFonts w:ascii="Tahoma" w:hAnsi="Tahoma" w:cs="Tahoma"/>
          <w:sz w:val="20"/>
        </w:rPr>
      </w:pPr>
    </w:p>
    <w:p w:rsidR="001A524C" w:rsidRPr="00F871E6" w:rsidRDefault="001A524C" w:rsidP="008215D5">
      <w:pPr>
        <w:spacing w:line="240" w:lineRule="auto"/>
        <w:ind w:left="540"/>
        <w:jc w:val="both"/>
        <w:rPr>
          <w:rFonts w:ascii="Tahoma" w:hAnsi="Tahoma" w:cs="Tahoma"/>
          <w:sz w:val="20"/>
          <w:szCs w:val="20"/>
          <w:lang w:val="es-ES_tradnl"/>
        </w:rPr>
      </w:pPr>
      <w:r w:rsidRPr="00F871E6">
        <w:rPr>
          <w:rFonts w:ascii="Tahoma" w:hAnsi="Tahoma" w:cs="Tahoma"/>
          <w:sz w:val="20"/>
          <w:szCs w:val="20"/>
          <w:lang w:val="es-ES_tradnl"/>
        </w:rPr>
        <w:t>En relación a ello, debe señalarse que si bien dicha carta si llegó a ser notificada fehacientemente al Postor, dicha comunicación no cumple los requisitos para ser considerada como un medio idóneo para la citación a la firma del contrato, pues se encuentra fuera de los plazos establecidos en el artículo 148º del Reglamento, expuestos en el numeral 8 de la presente fundamentación.</w:t>
      </w:r>
    </w:p>
    <w:p w:rsidR="001A524C" w:rsidRPr="00F871E6" w:rsidRDefault="001A524C" w:rsidP="008215D5">
      <w:pPr>
        <w:numPr>
          <w:ilvl w:val="1"/>
          <w:numId w:val="7"/>
        </w:numPr>
        <w:tabs>
          <w:tab w:val="clear" w:pos="1080"/>
          <w:tab w:val="num" w:pos="540"/>
        </w:tabs>
        <w:spacing w:after="0" w:line="240" w:lineRule="auto"/>
        <w:ind w:left="540" w:hanging="540"/>
        <w:jc w:val="both"/>
        <w:rPr>
          <w:rFonts w:ascii="Tahoma" w:hAnsi="Tahoma" w:cs="Tahoma"/>
          <w:sz w:val="20"/>
          <w:szCs w:val="20"/>
          <w:lang w:val="es-ES_tradnl"/>
        </w:rPr>
      </w:pPr>
      <w:r w:rsidRPr="00F871E6">
        <w:rPr>
          <w:rFonts w:ascii="Tahoma" w:hAnsi="Tahoma" w:cs="Tahoma"/>
          <w:sz w:val="20"/>
          <w:szCs w:val="20"/>
        </w:rPr>
        <w:t>Consecuentemente, habiéndose verificado que la Entidad no dio cumplimiento al procedimiento para la celebración del contrato y que, por ende, no se ha materializado la condición necesaria para la configuración de la infracción tipificada en el literal a) del numeral 51.1) del artículo 51 de la Ley de Contrataciones del Estado, corresponde eximir de responsabilidad al Postor respecto de los hechos denunciados, siendo irrelevante determinar si dicha omisión tuvo su origen en una causal atribuible a su parte.</w:t>
      </w:r>
    </w:p>
    <w:p w:rsidR="008215D5" w:rsidRPr="00F871E6" w:rsidRDefault="008215D5" w:rsidP="008215D5">
      <w:pPr>
        <w:spacing w:after="0" w:line="240" w:lineRule="auto"/>
        <w:ind w:left="540"/>
        <w:jc w:val="both"/>
        <w:rPr>
          <w:rFonts w:ascii="Tahoma" w:hAnsi="Tahoma" w:cs="Tahoma"/>
          <w:sz w:val="20"/>
          <w:szCs w:val="20"/>
          <w:lang w:val="es-ES_tradnl"/>
        </w:rPr>
      </w:pPr>
    </w:p>
    <w:p w:rsidR="001A524C" w:rsidRPr="00F871E6" w:rsidRDefault="001A524C" w:rsidP="008215D5">
      <w:pPr>
        <w:numPr>
          <w:ilvl w:val="1"/>
          <w:numId w:val="7"/>
        </w:numPr>
        <w:tabs>
          <w:tab w:val="clear" w:pos="1080"/>
          <w:tab w:val="num" w:pos="540"/>
        </w:tabs>
        <w:spacing w:after="0" w:line="240" w:lineRule="auto"/>
        <w:ind w:left="540" w:hanging="540"/>
        <w:jc w:val="both"/>
        <w:rPr>
          <w:rFonts w:ascii="Tahoma" w:hAnsi="Tahoma" w:cs="Tahoma"/>
          <w:sz w:val="20"/>
          <w:szCs w:val="20"/>
          <w:lang w:val="es-ES_tradnl"/>
        </w:rPr>
      </w:pPr>
      <w:r w:rsidRPr="00F871E6">
        <w:rPr>
          <w:rFonts w:ascii="Tahoma" w:hAnsi="Tahoma" w:cs="Tahoma"/>
          <w:sz w:val="20"/>
          <w:szCs w:val="20"/>
        </w:rPr>
        <w:t>Asimismo, dado que la Entidad no habría dado cumplimiento a las disposiciones glosadas precedentemente, se dispone poner los hechos en conocimiento de su Órgano de Control Institucional, a fin que determine las responsabilidades a las que hubiera lugar, de estimarlo pertinente.</w:t>
      </w:r>
    </w:p>
    <w:p w:rsidR="001A524C" w:rsidRPr="00F871E6" w:rsidRDefault="001A524C" w:rsidP="008215D5">
      <w:pPr>
        <w:spacing w:after="0" w:line="240" w:lineRule="auto"/>
        <w:ind w:firstLine="567"/>
        <w:jc w:val="both"/>
        <w:rPr>
          <w:rFonts w:ascii="Tahoma" w:hAnsi="Tahoma" w:cs="Tahoma"/>
          <w:sz w:val="20"/>
          <w:szCs w:val="20"/>
        </w:rPr>
      </w:pPr>
    </w:p>
    <w:p w:rsidR="001A524C" w:rsidRPr="00F871E6" w:rsidRDefault="001A524C" w:rsidP="008215D5">
      <w:pPr>
        <w:spacing w:after="0" w:line="240" w:lineRule="auto"/>
        <w:ind w:left="-284" w:firstLine="360"/>
        <w:jc w:val="both"/>
        <w:rPr>
          <w:rFonts w:ascii="Tahoma" w:hAnsi="Tahoma" w:cs="Tahoma"/>
          <w:sz w:val="20"/>
          <w:szCs w:val="20"/>
        </w:rPr>
      </w:pPr>
      <w:r w:rsidRPr="00F871E6">
        <w:rPr>
          <w:rFonts w:ascii="Tahoma" w:hAnsi="Tahoma" w:cs="Tahoma"/>
          <w:sz w:val="20"/>
          <w:szCs w:val="20"/>
        </w:rPr>
        <w:t>Por estos fundamentos, de conformidad con el informe del Vocal Ponente Dra. Janette Elke Ramírez Maynetto, y la intervención de los Vocales Dr. Carlos Navas Rondón y Dra. Ada Basulto Liewald, y atendiendo a la reconformación de la Primera Sala d</w:t>
      </w:r>
      <w:r w:rsidR="00F9141E">
        <w:rPr>
          <w:rFonts w:ascii="Tahoma" w:hAnsi="Tahoma" w:cs="Tahoma"/>
          <w:sz w:val="20"/>
          <w:szCs w:val="20"/>
        </w:rPr>
        <w:t xml:space="preserve">el Tribunal de Contrataciones </w:t>
      </w:r>
      <w:r w:rsidRPr="00F871E6">
        <w:rPr>
          <w:rFonts w:ascii="Tahoma" w:hAnsi="Tahoma" w:cs="Tahoma"/>
          <w:sz w:val="20"/>
          <w:szCs w:val="20"/>
        </w:rPr>
        <w:t xml:space="preserve">del Estado, según lo dispuesto en la Resolución № 103-2011-OSCE/PRE, expedida el 15 de febrero de 2011, </w:t>
      </w:r>
      <w:r w:rsidR="00EC70C4">
        <w:rPr>
          <w:rFonts w:ascii="Tahoma" w:hAnsi="Tahoma" w:cs="Tahoma"/>
          <w:sz w:val="20"/>
          <w:szCs w:val="20"/>
        </w:rPr>
        <w:t xml:space="preserve">el Acuerdo de Sala Plena 005/003, </w:t>
      </w:r>
      <w:r w:rsidRPr="00F871E6">
        <w:rPr>
          <w:rFonts w:ascii="Tahoma" w:hAnsi="Tahoma" w:cs="Tahoma"/>
          <w:sz w:val="20"/>
          <w:szCs w:val="20"/>
        </w:rPr>
        <w:t>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1A524C" w:rsidRDefault="001A524C" w:rsidP="008215D5">
      <w:pPr>
        <w:spacing w:after="0" w:line="240" w:lineRule="auto"/>
        <w:jc w:val="both"/>
        <w:rPr>
          <w:rFonts w:ascii="Tahoma" w:hAnsi="Tahoma" w:cs="Tahoma"/>
          <w:sz w:val="20"/>
          <w:szCs w:val="20"/>
        </w:rPr>
      </w:pPr>
    </w:p>
    <w:p w:rsidR="00F871E6" w:rsidRPr="00F871E6" w:rsidRDefault="00F871E6" w:rsidP="008215D5">
      <w:pPr>
        <w:spacing w:after="0" w:line="240" w:lineRule="auto"/>
        <w:jc w:val="both"/>
        <w:rPr>
          <w:rFonts w:ascii="Tahoma" w:hAnsi="Tahoma" w:cs="Tahoma"/>
          <w:sz w:val="20"/>
          <w:szCs w:val="20"/>
        </w:rPr>
      </w:pPr>
    </w:p>
    <w:p w:rsidR="001A524C" w:rsidRPr="00F871E6" w:rsidRDefault="001A524C" w:rsidP="008215D5">
      <w:pPr>
        <w:spacing w:after="0" w:line="240" w:lineRule="auto"/>
        <w:ind w:right="-315"/>
        <w:jc w:val="both"/>
        <w:rPr>
          <w:rFonts w:ascii="Tahoma" w:hAnsi="Tahoma" w:cs="Tahoma"/>
          <w:b/>
          <w:sz w:val="20"/>
          <w:szCs w:val="20"/>
        </w:rPr>
      </w:pPr>
      <w:r w:rsidRPr="00F871E6">
        <w:rPr>
          <w:rFonts w:ascii="Tahoma" w:hAnsi="Tahoma" w:cs="Tahoma"/>
          <w:b/>
          <w:sz w:val="20"/>
          <w:szCs w:val="20"/>
        </w:rPr>
        <w:t>LA SALA RESUELVE:</w:t>
      </w:r>
    </w:p>
    <w:p w:rsidR="008215D5" w:rsidRDefault="008215D5" w:rsidP="008215D5">
      <w:pPr>
        <w:spacing w:after="0" w:line="240" w:lineRule="auto"/>
        <w:ind w:left="360"/>
        <w:jc w:val="both"/>
        <w:rPr>
          <w:rFonts w:ascii="Tahoma" w:hAnsi="Tahoma" w:cs="Tahoma"/>
          <w:sz w:val="20"/>
          <w:szCs w:val="20"/>
        </w:rPr>
      </w:pPr>
    </w:p>
    <w:p w:rsidR="00F871E6" w:rsidRPr="00F871E6" w:rsidRDefault="00F871E6" w:rsidP="008215D5">
      <w:pPr>
        <w:spacing w:after="0" w:line="240" w:lineRule="auto"/>
        <w:ind w:left="360"/>
        <w:jc w:val="both"/>
        <w:rPr>
          <w:rFonts w:ascii="Tahoma" w:hAnsi="Tahoma" w:cs="Tahoma"/>
          <w:sz w:val="20"/>
          <w:szCs w:val="20"/>
        </w:rPr>
      </w:pPr>
    </w:p>
    <w:p w:rsidR="001A524C" w:rsidRPr="00F871E6" w:rsidRDefault="001A524C" w:rsidP="008215D5">
      <w:pPr>
        <w:numPr>
          <w:ilvl w:val="0"/>
          <w:numId w:val="9"/>
        </w:numPr>
        <w:tabs>
          <w:tab w:val="clear" w:pos="720"/>
          <w:tab w:val="num" w:pos="360"/>
        </w:tabs>
        <w:spacing w:after="0" w:line="240" w:lineRule="auto"/>
        <w:ind w:left="360"/>
        <w:jc w:val="both"/>
        <w:rPr>
          <w:rFonts w:ascii="Tahoma" w:hAnsi="Tahoma" w:cs="Tahoma"/>
          <w:sz w:val="20"/>
          <w:szCs w:val="20"/>
        </w:rPr>
      </w:pPr>
      <w:r w:rsidRPr="00F871E6">
        <w:rPr>
          <w:rFonts w:ascii="Tahoma" w:hAnsi="Tahoma" w:cs="Tahoma"/>
          <w:sz w:val="20"/>
          <w:szCs w:val="20"/>
        </w:rPr>
        <w:t>No ha lugar a la aplicación de sanción a la empresa ANDREA COMERCIAL S.A. por supuesta responsabilidad en la infracción tipificada en el numeral 51.1 literal a) del artículo 51 de la Ley de Contrataciones del Estado y en el numeral 1 literal a) del artículo 237 del Reglamento de la Ley, aprobado por Decreto Legislativo Nº 1017, por los fundamentos expuestos.</w:t>
      </w:r>
    </w:p>
    <w:p w:rsidR="008215D5" w:rsidRPr="00F871E6" w:rsidRDefault="008215D5" w:rsidP="008215D5">
      <w:pPr>
        <w:spacing w:after="0" w:line="240" w:lineRule="auto"/>
        <w:ind w:left="360"/>
        <w:jc w:val="both"/>
        <w:rPr>
          <w:rFonts w:ascii="Tahoma" w:hAnsi="Tahoma" w:cs="Tahoma"/>
          <w:sz w:val="20"/>
          <w:szCs w:val="20"/>
        </w:rPr>
      </w:pPr>
    </w:p>
    <w:p w:rsidR="001A524C" w:rsidRPr="00F871E6" w:rsidRDefault="001A524C" w:rsidP="008215D5">
      <w:pPr>
        <w:numPr>
          <w:ilvl w:val="0"/>
          <w:numId w:val="9"/>
        </w:numPr>
        <w:tabs>
          <w:tab w:val="clear" w:pos="720"/>
          <w:tab w:val="num" w:pos="360"/>
        </w:tabs>
        <w:spacing w:after="0" w:line="240" w:lineRule="auto"/>
        <w:ind w:left="360"/>
        <w:jc w:val="both"/>
        <w:rPr>
          <w:rFonts w:ascii="Tahoma" w:hAnsi="Tahoma" w:cs="Tahoma"/>
          <w:sz w:val="20"/>
          <w:szCs w:val="20"/>
        </w:rPr>
      </w:pPr>
      <w:r w:rsidRPr="00F871E6">
        <w:rPr>
          <w:rFonts w:ascii="Tahoma" w:hAnsi="Tahoma" w:cs="Tahoma"/>
          <w:sz w:val="20"/>
          <w:szCs w:val="20"/>
        </w:rPr>
        <w:t xml:space="preserve">Poner en conocimiento </w:t>
      </w:r>
      <w:r w:rsidR="001D1907">
        <w:rPr>
          <w:rFonts w:ascii="Tahoma" w:hAnsi="Tahoma" w:cs="Tahoma"/>
          <w:sz w:val="20"/>
          <w:szCs w:val="20"/>
        </w:rPr>
        <w:t>la</w:t>
      </w:r>
      <w:r w:rsidRPr="00F871E6">
        <w:rPr>
          <w:rFonts w:ascii="Tahoma" w:hAnsi="Tahoma" w:cs="Tahoma"/>
          <w:sz w:val="20"/>
          <w:szCs w:val="20"/>
        </w:rPr>
        <w:t xml:space="preserve"> presente </w:t>
      </w:r>
      <w:r w:rsidR="001D1907">
        <w:rPr>
          <w:rFonts w:ascii="Tahoma" w:hAnsi="Tahoma" w:cs="Tahoma"/>
          <w:sz w:val="20"/>
          <w:szCs w:val="20"/>
        </w:rPr>
        <w:t xml:space="preserve">Resolución </w:t>
      </w:r>
      <w:r w:rsidRPr="00F871E6">
        <w:rPr>
          <w:rFonts w:ascii="Tahoma" w:hAnsi="Tahoma" w:cs="Tahoma"/>
          <w:sz w:val="20"/>
          <w:szCs w:val="20"/>
        </w:rPr>
        <w:t>al Órgano de Control Institucional, a fin que determine las responsabilidades a las que hubiera lugar, de estimarlo pertinente.</w:t>
      </w:r>
    </w:p>
    <w:p w:rsidR="001A524C" w:rsidRPr="00F871E6" w:rsidRDefault="001A524C" w:rsidP="008215D5">
      <w:pPr>
        <w:pStyle w:val="Textonotapie"/>
        <w:ind w:left="720"/>
      </w:pPr>
    </w:p>
    <w:p w:rsidR="001A524C" w:rsidRPr="00F871E6" w:rsidRDefault="001A524C" w:rsidP="008215D5">
      <w:pPr>
        <w:pStyle w:val="Ttulo3"/>
        <w:spacing w:line="240" w:lineRule="auto"/>
        <w:jc w:val="both"/>
        <w:rPr>
          <w:rFonts w:ascii="Tahoma" w:hAnsi="Tahoma" w:cs="Tahoma"/>
          <w:b w:val="0"/>
          <w:bCs w:val="0"/>
          <w:sz w:val="20"/>
          <w:szCs w:val="20"/>
        </w:rPr>
      </w:pPr>
      <w:r w:rsidRPr="00F871E6">
        <w:rPr>
          <w:rFonts w:ascii="Tahoma" w:hAnsi="Tahoma" w:cs="Tahoma"/>
          <w:b w:val="0"/>
          <w:sz w:val="20"/>
          <w:szCs w:val="20"/>
        </w:rPr>
        <w:lastRenderedPageBreak/>
        <w:t>Regístrese, comuníquese y publíquese.</w:t>
      </w:r>
    </w:p>
    <w:p w:rsidR="001A524C" w:rsidRPr="00F871E6" w:rsidRDefault="001A524C" w:rsidP="008215D5">
      <w:pPr>
        <w:spacing w:after="0" w:line="240" w:lineRule="auto"/>
        <w:jc w:val="both"/>
        <w:rPr>
          <w:rFonts w:ascii="Tahoma" w:hAnsi="Tahoma" w:cs="Tahoma"/>
          <w:b/>
          <w:shadow/>
          <w:sz w:val="20"/>
          <w:szCs w:val="20"/>
        </w:rPr>
      </w:pPr>
    </w:p>
    <w:p w:rsidR="001A524C" w:rsidRPr="00F871E6" w:rsidRDefault="001A524C" w:rsidP="008215D5">
      <w:pPr>
        <w:spacing w:after="0" w:line="240" w:lineRule="auto"/>
        <w:jc w:val="both"/>
        <w:rPr>
          <w:rFonts w:ascii="Tahoma" w:hAnsi="Tahoma" w:cs="Tahoma"/>
          <w:b/>
          <w:shadow/>
          <w:sz w:val="20"/>
          <w:szCs w:val="20"/>
        </w:rPr>
      </w:pPr>
    </w:p>
    <w:p w:rsidR="001A524C" w:rsidRPr="00F871E6" w:rsidRDefault="001A524C" w:rsidP="008215D5">
      <w:pPr>
        <w:spacing w:after="0" w:line="240" w:lineRule="auto"/>
        <w:jc w:val="both"/>
        <w:rPr>
          <w:rFonts w:ascii="Tahoma" w:hAnsi="Tahoma" w:cs="Tahoma"/>
          <w:b/>
          <w:shadow/>
          <w:sz w:val="20"/>
          <w:szCs w:val="20"/>
        </w:rPr>
      </w:pPr>
    </w:p>
    <w:p w:rsidR="001A524C" w:rsidRPr="00F871E6" w:rsidRDefault="001A524C" w:rsidP="008215D5">
      <w:pPr>
        <w:spacing w:after="0" w:line="240" w:lineRule="auto"/>
        <w:jc w:val="both"/>
        <w:rPr>
          <w:rFonts w:ascii="Tahoma" w:hAnsi="Tahoma" w:cs="Tahoma"/>
          <w:b/>
          <w:shadow/>
          <w:sz w:val="20"/>
          <w:szCs w:val="20"/>
        </w:rPr>
      </w:pPr>
    </w:p>
    <w:p w:rsidR="001A524C" w:rsidRPr="00F871E6" w:rsidRDefault="001A524C" w:rsidP="008215D5">
      <w:pPr>
        <w:spacing w:after="0" w:line="240" w:lineRule="auto"/>
        <w:ind w:left="2832" w:firstLine="708"/>
        <w:jc w:val="both"/>
        <w:rPr>
          <w:rFonts w:ascii="Tahoma" w:hAnsi="Tahoma" w:cs="Tahoma"/>
          <w:b/>
          <w:shadow/>
          <w:sz w:val="20"/>
          <w:szCs w:val="20"/>
        </w:rPr>
      </w:pPr>
      <w:r w:rsidRPr="00F871E6">
        <w:rPr>
          <w:rFonts w:ascii="Tahoma" w:hAnsi="Tahoma" w:cs="Tahoma"/>
          <w:b/>
          <w:shadow/>
          <w:sz w:val="20"/>
          <w:szCs w:val="20"/>
        </w:rPr>
        <w:t>PRESIDENTE</w:t>
      </w:r>
    </w:p>
    <w:p w:rsidR="001A524C" w:rsidRPr="00F871E6" w:rsidRDefault="001A524C" w:rsidP="008215D5">
      <w:pPr>
        <w:spacing w:after="0" w:line="240" w:lineRule="auto"/>
        <w:jc w:val="both"/>
        <w:rPr>
          <w:rFonts w:ascii="Tahoma" w:hAnsi="Tahoma" w:cs="Tahoma"/>
          <w:b/>
          <w:shadow/>
          <w:sz w:val="20"/>
          <w:szCs w:val="20"/>
        </w:rPr>
      </w:pPr>
    </w:p>
    <w:p w:rsidR="001A524C" w:rsidRPr="00F871E6" w:rsidRDefault="001A524C" w:rsidP="008215D5">
      <w:pPr>
        <w:spacing w:after="0" w:line="240" w:lineRule="auto"/>
        <w:jc w:val="both"/>
        <w:rPr>
          <w:rFonts w:ascii="Tahoma" w:hAnsi="Tahoma" w:cs="Tahoma"/>
          <w:b/>
          <w:shadow/>
          <w:sz w:val="20"/>
          <w:szCs w:val="20"/>
        </w:rPr>
      </w:pPr>
    </w:p>
    <w:p w:rsidR="001A524C" w:rsidRPr="00F871E6" w:rsidRDefault="001A524C" w:rsidP="008215D5">
      <w:pPr>
        <w:spacing w:after="0" w:line="240" w:lineRule="auto"/>
        <w:jc w:val="both"/>
        <w:rPr>
          <w:rFonts w:ascii="Tahoma" w:hAnsi="Tahoma" w:cs="Tahoma"/>
          <w:b/>
          <w:shadow/>
          <w:sz w:val="20"/>
          <w:szCs w:val="20"/>
        </w:rPr>
      </w:pPr>
    </w:p>
    <w:p w:rsidR="001A524C" w:rsidRPr="00F871E6" w:rsidRDefault="001A524C" w:rsidP="008215D5">
      <w:pPr>
        <w:spacing w:after="0" w:line="240" w:lineRule="auto"/>
        <w:jc w:val="both"/>
        <w:rPr>
          <w:rFonts w:ascii="Tahoma" w:hAnsi="Tahoma" w:cs="Tahoma"/>
          <w:b/>
          <w:shadow/>
          <w:sz w:val="20"/>
          <w:szCs w:val="20"/>
        </w:rPr>
      </w:pPr>
    </w:p>
    <w:p w:rsidR="001A524C" w:rsidRPr="00F871E6" w:rsidRDefault="001A524C" w:rsidP="008215D5">
      <w:pPr>
        <w:spacing w:after="0" w:line="240" w:lineRule="auto"/>
        <w:jc w:val="both"/>
        <w:rPr>
          <w:rFonts w:ascii="Tahoma" w:hAnsi="Tahoma" w:cs="Tahoma"/>
          <w:shadow/>
          <w:sz w:val="20"/>
          <w:szCs w:val="20"/>
        </w:rPr>
      </w:pPr>
      <w:r w:rsidRPr="00F871E6">
        <w:rPr>
          <w:rFonts w:ascii="Tahoma" w:hAnsi="Tahoma" w:cs="Tahoma"/>
          <w:b/>
          <w:shadow/>
          <w:sz w:val="20"/>
          <w:szCs w:val="20"/>
        </w:rPr>
        <w:t xml:space="preserve">                  VOCAL</w:t>
      </w:r>
      <w:r w:rsidRPr="00F871E6">
        <w:rPr>
          <w:rFonts w:ascii="Tahoma" w:hAnsi="Tahoma" w:cs="Tahoma"/>
          <w:b/>
          <w:shadow/>
          <w:sz w:val="20"/>
          <w:szCs w:val="20"/>
        </w:rPr>
        <w:tab/>
      </w:r>
      <w:r w:rsidRPr="00F871E6">
        <w:rPr>
          <w:rFonts w:ascii="Tahoma" w:hAnsi="Tahoma" w:cs="Tahoma"/>
          <w:b/>
          <w:shadow/>
          <w:sz w:val="20"/>
          <w:szCs w:val="20"/>
        </w:rPr>
        <w:tab/>
      </w:r>
      <w:r w:rsidRPr="00F871E6">
        <w:rPr>
          <w:rFonts w:ascii="Tahoma" w:hAnsi="Tahoma" w:cs="Tahoma"/>
          <w:b/>
          <w:shadow/>
          <w:sz w:val="20"/>
          <w:szCs w:val="20"/>
        </w:rPr>
        <w:tab/>
      </w:r>
      <w:r w:rsidRPr="00F871E6">
        <w:rPr>
          <w:rFonts w:ascii="Tahoma" w:hAnsi="Tahoma" w:cs="Tahoma"/>
          <w:b/>
          <w:shadow/>
          <w:sz w:val="20"/>
          <w:szCs w:val="20"/>
        </w:rPr>
        <w:tab/>
      </w:r>
      <w:r w:rsidRPr="00F871E6">
        <w:rPr>
          <w:rFonts w:ascii="Tahoma" w:hAnsi="Tahoma" w:cs="Tahoma"/>
          <w:b/>
          <w:shadow/>
          <w:sz w:val="20"/>
          <w:szCs w:val="20"/>
        </w:rPr>
        <w:tab/>
      </w:r>
      <w:r w:rsidRPr="00F871E6">
        <w:rPr>
          <w:rFonts w:ascii="Tahoma" w:hAnsi="Tahoma" w:cs="Tahoma"/>
          <w:b/>
          <w:shadow/>
          <w:sz w:val="20"/>
          <w:szCs w:val="20"/>
        </w:rPr>
        <w:tab/>
      </w:r>
      <w:r w:rsidRPr="00F871E6">
        <w:rPr>
          <w:rFonts w:ascii="Tahoma" w:hAnsi="Tahoma" w:cs="Tahoma"/>
          <w:b/>
          <w:shadow/>
          <w:sz w:val="20"/>
          <w:szCs w:val="20"/>
        </w:rPr>
        <w:tab/>
      </w:r>
      <w:r w:rsidRPr="00F871E6">
        <w:rPr>
          <w:rFonts w:ascii="Tahoma" w:hAnsi="Tahoma" w:cs="Tahoma"/>
          <w:b/>
          <w:shadow/>
          <w:sz w:val="20"/>
          <w:szCs w:val="20"/>
        </w:rPr>
        <w:tab/>
        <w:t xml:space="preserve">VOCAL                                                                 </w:t>
      </w:r>
    </w:p>
    <w:p w:rsidR="001A524C" w:rsidRPr="00F871E6" w:rsidRDefault="001A524C" w:rsidP="008215D5">
      <w:pPr>
        <w:spacing w:after="0" w:line="240" w:lineRule="auto"/>
        <w:jc w:val="both"/>
        <w:rPr>
          <w:rFonts w:ascii="Tahoma" w:hAnsi="Tahoma" w:cs="Tahoma"/>
          <w:sz w:val="20"/>
          <w:szCs w:val="20"/>
        </w:rPr>
      </w:pPr>
    </w:p>
    <w:p w:rsidR="001A524C" w:rsidRPr="00F871E6" w:rsidRDefault="001A524C" w:rsidP="008215D5">
      <w:pPr>
        <w:spacing w:after="0" w:line="240" w:lineRule="auto"/>
        <w:jc w:val="both"/>
        <w:rPr>
          <w:rFonts w:ascii="Tahoma" w:hAnsi="Tahoma" w:cs="Tahoma"/>
          <w:sz w:val="20"/>
          <w:szCs w:val="20"/>
        </w:rPr>
      </w:pPr>
    </w:p>
    <w:p w:rsidR="001A524C" w:rsidRPr="00F871E6" w:rsidRDefault="001A524C" w:rsidP="008215D5">
      <w:pPr>
        <w:spacing w:after="0" w:line="240" w:lineRule="auto"/>
        <w:jc w:val="both"/>
        <w:rPr>
          <w:rFonts w:ascii="Tahoma" w:hAnsi="Tahoma" w:cs="Tahoma"/>
          <w:sz w:val="20"/>
          <w:szCs w:val="20"/>
        </w:rPr>
      </w:pPr>
    </w:p>
    <w:p w:rsidR="001A524C" w:rsidRPr="00F871E6" w:rsidRDefault="001A524C" w:rsidP="008215D5">
      <w:pPr>
        <w:spacing w:after="0" w:line="240" w:lineRule="auto"/>
        <w:jc w:val="both"/>
        <w:rPr>
          <w:rFonts w:ascii="Tahoma" w:hAnsi="Tahoma" w:cs="Tahoma"/>
          <w:sz w:val="20"/>
          <w:szCs w:val="20"/>
        </w:rPr>
      </w:pPr>
    </w:p>
    <w:p w:rsidR="001A524C" w:rsidRPr="00F871E6" w:rsidRDefault="001A524C" w:rsidP="008215D5">
      <w:pPr>
        <w:spacing w:after="0" w:line="240" w:lineRule="auto"/>
        <w:jc w:val="both"/>
        <w:rPr>
          <w:rFonts w:ascii="Tahoma" w:hAnsi="Tahoma" w:cs="Tahoma"/>
          <w:sz w:val="20"/>
          <w:szCs w:val="20"/>
        </w:rPr>
      </w:pPr>
    </w:p>
    <w:p w:rsidR="001A524C" w:rsidRPr="00F871E6" w:rsidRDefault="001A524C" w:rsidP="008215D5">
      <w:pPr>
        <w:spacing w:after="0" w:line="240" w:lineRule="auto"/>
        <w:jc w:val="both"/>
        <w:rPr>
          <w:rFonts w:ascii="Tahoma" w:hAnsi="Tahoma" w:cs="Tahoma"/>
          <w:sz w:val="20"/>
          <w:szCs w:val="20"/>
        </w:rPr>
      </w:pPr>
      <w:r w:rsidRPr="00F871E6">
        <w:rPr>
          <w:rFonts w:ascii="Tahoma" w:hAnsi="Tahoma" w:cs="Tahoma"/>
          <w:sz w:val="20"/>
          <w:szCs w:val="20"/>
        </w:rPr>
        <w:t>ss.</w:t>
      </w:r>
    </w:p>
    <w:p w:rsidR="001A524C" w:rsidRPr="00F871E6" w:rsidRDefault="001A524C" w:rsidP="008215D5">
      <w:pPr>
        <w:spacing w:after="0" w:line="240" w:lineRule="auto"/>
        <w:jc w:val="both"/>
        <w:rPr>
          <w:rFonts w:ascii="Tahoma" w:hAnsi="Tahoma" w:cs="Tahoma"/>
          <w:sz w:val="20"/>
          <w:szCs w:val="20"/>
        </w:rPr>
      </w:pPr>
      <w:r w:rsidRPr="00F871E6">
        <w:rPr>
          <w:rFonts w:ascii="Tahoma" w:hAnsi="Tahoma" w:cs="Tahoma"/>
          <w:sz w:val="20"/>
          <w:szCs w:val="20"/>
        </w:rPr>
        <w:t>Navas Rondón,</w:t>
      </w:r>
    </w:p>
    <w:p w:rsidR="001A524C" w:rsidRPr="00F871E6" w:rsidRDefault="001A524C" w:rsidP="008215D5">
      <w:pPr>
        <w:spacing w:after="0" w:line="240" w:lineRule="auto"/>
        <w:jc w:val="both"/>
        <w:rPr>
          <w:rFonts w:ascii="Tahoma" w:hAnsi="Tahoma" w:cs="Tahoma"/>
          <w:sz w:val="20"/>
          <w:szCs w:val="20"/>
        </w:rPr>
      </w:pPr>
      <w:r w:rsidRPr="00F871E6">
        <w:rPr>
          <w:rFonts w:ascii="Tahoma" w:hAnsi="Tahoma" w:cs="Tahoma"/>
          <w:sz w:val="20"/>
          <w:szCs w:val="20"/>
        </w:rPr>
        <w:t>Ramírez Maynetto,</w:t>
      </w:r>
    </w:p>
    <w:p w:rsidR="001A524C" w:rsidRPr="00F871E6" w:rsidRDefault="001A524C" w:rsidP="008215D5">
      <w:pPr>
        <w:spacing w:after="0" w:line="240" w:lineRule="auto"/>
        <w:jc w:val="both"/>
        <w:rPr>
          <w:rFonts w:ascii="Tahoma" w:hAnsi="Tahoma" w:cs="Tahoma"/>
          <w:sz w:val="20"/>
          <w:szCs w:val="20"/>
        </w:rPr>
      </w:pPr>
      <w:r w:rsidRPr="00F871E6">
        <w:rPr>
          <w:rFonts w:ascii="Tahoma" w:hAnsi="Tahoma" w:cs="Tahoma"/>
          <w:sz w:val="20"/>
          <w:szCs w:val="20"/>
        </w:rPr>
        <w:t>Basulto Liewald.</w:t>
      </w:r>
    </w:p>
    <w:p w:rsidR="001A524C" w:rsidRPr="00F871E6" w:rsidRDefault="001A524C" w:rsidP="008215D5">
      <w:pPr>
        <w:spacing w:line="240" w:lineRule="auto"/>
        <w:rPr>
          <w:rFonts w:ascii="Tahoma" w:hAnsi="Tahoma" w:cs="Tahoma"/>
          <w:sz w:val="20"/>
          <w:szCs w:val="20"/>
        </w:rPr>
      </w:pPr>
    </w:p>
    <w:p w:rsidR="001A524C" w:rsidRPr="00F871E6" w:rsidRDefault="001A524C" w:rsidP="008215D5">
      <w:pPr>
        <w:spacing w:line="240" w:lineRule="auto"/>
        <w:rPr>
          <w:rFonts w:ascii="Tahoma" w:hAnsi="Tahoma" w:cs="Tahoma"/>
          <w:sz w:val="20"/>
          <w:szCs w:val="20"/>
        </w:rPr>
      </w:pPr>
    </w:p>
    <w:p w:rsidR="001A524C" w:rsidRPr="00F871E6" w:rsidRDefault="001A524C" w:rsidP="008215D5">
      <w:pPr>
        <w:spacing w:line="240" w:lineRule="auto"/>
        <w:rPr>
          <w:rFonts w:ascii="Tahoma" w:hAnsi="Tahoma" w:cs="Tahoma"/>
          <w:sz w:val="20"/>
          <w:szCs w:val="20"/>
        </w:rPr>
      </w:pPr>
    </w:p>
    <w:p w:rsidR="00260F0B" w:rsidRPr="00F871E6" w:rsidRDefault="00641CA7" w:rsidP="008215D5">
      <w:pPr>
        <w:spacing w:line="240" w:lineRule="auto"/>
        <w:rPr>
          <w:rFonts w:ascii="Tahoma" w:hAnsi="Tahoma" w:cs="Tahoma"/>
          <w:sz w:val="20"/>
          <w:szCs w:val="20"/>
        </w:rPr>
      </w:pPr>
    </w:p>
    <w:sectPr w:rsidR="00260F0B" w:rsidRPr="00F871E6" w:rsidSect="00F871E6">
      <w:headerReference w:type="default" r:id="rId7"/>
      <w:footerReference w:type="default" r:id="rId8"/>
      <w:pgSz w:w="11906" w:h="16838"/>
      <w:pgMar w:top="2836" w:right="1416" w:bottom="1702"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1CA7" w:rsidRDefault="00641CA7" w:rsidP="001A524C">
      <w:pPr>
        <w:spacing w:after="0" w:line="240" w:lineRule="auto"/>
      </w:pPr>
      <w:r>
        <w:separator/>
      </w:r>
    </w:p>
  </w:endnote>
  <w:endnote w:type="continuationSeparator" w:id="1">
    <w:p w:rsidR="00641CA7" w:rsidRDefault="00641CA7" w:rsidP="001A52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10E" w:rsidRPr="00FD5A0C" w:rsidRDefault="00F871E6">
    <w:pPr>
      <w:pStyle w:val="Piedepgina"/>
      <w:jc w:val="center"/>
      <w:rPr>
        <w:rFonts w:ascii="Tahoma" w:hAnsi="Tahoma" w:cs="Tahoma"/>
        <w:i/>
        <w:sz w:val="18"/>
        <w:szCs w:val="18"/>
      </w:rPr>
    </w:pPr>
    <w:r w:rsidRPr="00FD5A0C">
      <w:rPr>
        <w:rFonts w:ascii="Tahoma" w:hAnsi="Tahoma" w:cs="Tahoma"/>
        <w:i/>
        <w:sz w:val="18"/>
        <w:szCs w:val="18"/>
      </w:rPr>
      <w:t xml:space="preserve">Página </w:t>
    </w:r>
    <w:r w:rsidR="001D522A" w:rsidRPr="00FD5A0C">
      <w:rPr>
        <w:rFonts w:ascii="Tahoma" w:hAnsi="Tahoma" w:cs="Tahoma"/>
        <w:i/>
        <w:sz w:val="18"/>
        <w:szCs w:val="18"/>
      </w:rPr>
      <w:fldChar w:fldCharType="begin"/>
    </w:r>
    <w:r w:rsidRPr="00FD5A0C">
      <w:rPr>
        <w:rFonts w:ascii="Tahoma" w:hAnsi="Tahoma" w:cs="Tahoma"/>
        <w:i/>
        <w:sz w:val="18"/>
        <w:szCs w:val="18"/>
      </w:rPr>
      <w:instrText>PAGE</w:instrText>
    </w:r>
    <w:r w:rsidR="001D522A" w:rsidRPr="00FD5A0C">
      <w:rPr>
        <w:rFonts w:ascii="Tahoma" w:hAnsi="Tahoma" w:cs="Tahoma"/>
        <w:i/>
        <w:sz w:val="18"/>
        <w:szCs w:val="18"/>
      </w:rPr>
      <w:fldChar w:fldCharType="separate"/>
    </w:r>
    <w:r w:rsidR="004A4A91">
      <w:rPr>
        <w:rFonts w:ascii="Tahoma" w:hAnsi="Tahoma" w:cs="Tahoma"/>
        <w:i/>
        <w:noProof/>
        <w:sz w:val="18"/>
        <w:szCs w:val="18"/>
      </w:rPr>
      <w:t>1</w:t>
    </w:r>
    <w:r w:rsidR="001D522A" w:rsidRPr="00FD5A0C">
      <w:rPr>
        <w:rFonts w:ascii="Tahoma" w:hAnsi="Tahoma" w:cs="Tahoma"/>
        <w:i/>
        <w:sz w:val="18"/>
        <w:szCs w:val="18"/>
      </w:rPr>
      <w:fldChar w:fldCharType="end"/>
    </w:r>
    <w:r w:rsidRPr="00FD5A0C">
      <w:rPr>
        <w:rFonts w:ascii="Tahoma" w:hAnsi="Tahoma" w:cs="Tahoma"/>
        <w:i/>
        <w:sz w:val="18"/>
        <w:szCs w:val="18"/>
      </w:rPr>
      <w:t xml:space="preserve"> de </w:t>
    </w:r>
    <w:r w:rsidR="001D522A" w:rsidRPr="00FD5A0C">
      <w:rPr>
        <w:rFonts w:ascii="Tahoma" w:hAnsi="Tahoma" w:cs="Tahoma"/>
        <w:i/>
        <w:sz w:val="18"/>
        <w:szCs w:val="18"/>
      </w:rPr>
      <w:fldChar w:fldCharType="begin"/>
    </w:r>
    <w:r w:rsidRPr="00FD5A0C">
      <w:rPr>
        <w:rFonts w:ascii="Tahoma" w:hAnsi="Tahoma" w:cs="Tahoma"/>
        <w:i/>
        <w:sz w:val="18"/>
        <w:szCs w:val="18"/>
      </w:rPr>
      <w:instrText>NUMPAGES</w:instrText>
    </w:r>
    <w:r w:rsidR="001D522A" w:rsidRPr="00FD5A0C">
      <w:rPr>
        <w:rFonts w:ascii="Tahoma" w:hAnsi="Tahoma" w:cs="Tahoma"/>
        <w:i/>
        <w:sz w:val="18"/>
        <w:szCs w:val="18"/>
      </w:rPr>
      <w:fldChar w:fldCharType="separate"/>
    </w:r>
    <w:r w:rsidR="004A4A91">
      <w:rPr>
        <w:rFonts w:ascii="Tahoma" w:hAnsi="Tahoma" w:cs="Tahoma"/>
        <w:i/>
        <w:noProof/>
        <w:sz w:val="18"/>
        <w:szCs w:val="18"/>
      </w:rPr>
      <w:t>7</w:t>
    </w:r>
    <w:r w:rsidR="001D522A" w:rsidRPr="00FD5A0C">
      <w:rPr>
        <w:rFonts w:ascii="Tahoma" w:hAnsi="Tahoma" w:cs="Tahoma"/>
        <w:i/>
        <w:sz w:val="18"/>
        <w:szCs w:val="18"/>
      </w:rPr>
      <w:fldChar w:fldCharType="end"/>
    </w:r>
  </w:p>
  <w:p w:rsidR="003A110E" w:rsidRDefault="00641CA7">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1CA7" w:rsidRDefault="00641CA7" w:rsidP="001A524C">
      <w:pPr>
        <w:spacing w:after="0" w:line="240" w:lineRule="auto"/>
      </w:pPr>
      <w:r>
        <w:separator/>
      </w:r>
    </w:p>
  </w:footnote>
  <w:footnote w:type="continuationSeparator" w:id="1">
    <w:p w:rsidR="00641CA7" w:rsidRDefault="00641CA7" w:rsidP="001A524C">
      <w:pPr>
        <w:spacing w:after="0" w:line="240" w:lineRule="auto"/>
      </w:pPr>
      <w:r>
        <w:continuationSeparator/>
      </w:r>
    </w:p>
  </w:footnote>
  <w:footnote w:id="2">
    <w:p w:rsidR="001A524C" w:rsidRDefault="001A524C" w:rsidP="001A524C">
      <w:pPr>
        <w:pStyle w:val="Textonotapie"/>
      </w:pPr>
      <w:r>
        <w:rPr>
          <w:rStyle w:val="Refdenotaalpie"/>
          <w:i/>
          <w:iCs/>
          <w:sz w:val="18"/>
          <w:szCs w:val="18"/>
        </w:rPr>
        <w:footnoteRef/>
      </w:r>
      <w:r>
        <w:rPr>
          <w:i/>
          <w:iCs/>
          <w:sz w:val="18"/>
          <w:szCs w:val="18"/>
        </w:rPr>
        <w:t xml:space="preserve"> Acuerdo adoptado, por mayoría, con excepción del Voto en Discordia formulado por el Dr. Derik Latorre Boza, al cual  se adhirió la Dra. Janette Elke Ramírez Maynetto.</w:t>
      </w:r>
    </w:p>
  </w:footnote>
  <w:footnote w:id="3">
    <w:p w:rsidR="001A524C" w:rsidRDefault="001A524C" w:rsidP="001A524C">
      <w:pPr>
        <w:jc w:val="both"/>
      </w:pPr>
      <w:r w:rsidRPr="00AE6F4F">
        <w:rPr>
          <w:rStyle w:val="Refdenotaalpie"/>
          <w:i/>
          <w:iCs/>
        </w:rPr>
        <w:footnoteRef/>
      </w:r>
      <w:r w:rsidRPr="00AE6F4F">
        <w:rPr>
          <w:i/>
          <w:iCs/>
        </w:rPr>
        <w:t xml:space="preserve"> </w:t>
      </w:r>
      <w:r>
        <w:rPr>
          <w:rFonts w:ascii="Tahoma" w:hAnsi="Tahoma" w:cs="Tahoma"/>
          <w:i/>
          <w:iCs/>
          <w:sz w:val="16"/>
          <w:szCs w:val="16"/>
        </w:rPr>
        <w:t>Documento obrante a folios 15 del expediente administrativo.</w:t>
      </w:r>
    </w:p>
  </w:footnote>
  <w:footnote w:id="4">
    <w:p w:rsidR="001A524C" w:rsidRPr="00AE6F4F" w:rsidRDefault="001A524C" w:rsidP="001A524C">
      <w:pPr>
        <w:jc w:val="both"/>
        <w:rPr>
          <w:rFonts w:ascii="Tahoma" w:hAnsi="Tahoma" w:cs="Tahoma"/>
          <w:i/>
          <w:iCs/>
          <w:sz w:val="16"/>
          <w:szCs w:val="16"/>
          <w:lang w:val="es-ES_tradnl"/>
        </w:rPr>
      </w:pPr>
      <w:r w:rsidRPr="00AE6F4F">
        <w:rPr>
          <w:rStyle w:val="Refdenotaalpie"/>
          <w:i/>
          <w:iCs/>
        </w:rPr>
        <w:footnoteRef/>
      </w:r>
      <w:r w:rsidRPr="00AE6F4F">
        <w:rPr>
          <w:i/>
          <w:iCs/>
        </w:rPr>
        <w:t xml:space="preserve"> </w:t>
      </w:r>
      <w:r w:rsidRPr="00AE6F4F">
        <w:rPr>
          <w:rFonts w:ascii="Tahoma" w:hAnsi="Tahoma" w:cs="Tahoma"/>
          <w:i/>
          <w:iCs/>
          <w:sz w:val="16"/>
          <w:szCs w:val="16"/>
        </w:rPr>
        <w:t>Dicho Criterio ha sido acogido por este Tribunal mediante el Acuerdo de Sala Plena Nº  007-2009.</w:t>
      </w:r>
    </w:p>
    <w:p w:rsidR="001A524C" w:rsidRDefault="001A524C" w:rsidP="001A524C">
      <w:pPr>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A91" w:rsidRDefault="004A4A91" w:rsidP="004A4A91">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4A4A91" w:rsidRDefault="004A4A91" w:rsidP="004A4A91">
    <w:pPr>
      <w:pStyle w:val="Encabezado"/>
      <w:rPr>
        <w:noProof/>
      </w:rPr>
    </w:pPr>
  </w:p>
  <w:p w:rsidR="004A4A91" w:rsidRDefault="004A4A91" w:rsidP="004A4A91">
    <w:pPr>
      <w:pStyle w:val="Encabezado"/>
      <w:rPr>
        <w:noProof/>
      </w:rPr>
    </w:pPr>
  </w:p>
  <w:p w:rsidR="004A4A91" w:rsidRDefault="004A4A91" w:rsidP="004A4A91">
    <w:pPr>
      <w:pStyle w:val="Encabezado"/>
      <w:rPr>
        <w:noProof/>
      </w:rPr>
    </w:pPr>
  </w:p>
  <w:p w:rsidR="004A4A91" w:rsidRDefault="004A4A91" w:rsidP="004A4A91">
    <w:pPr>
      <w:pStyle w:val="Encabezado"/>
      <w:jc w:val="center"/>
    </w:pPr>
    <w:r>
      <w:rPr>
        <w:rFonts w:ascii="Monotype Corsiva" w:hAnsi="Monotype Corsiva"/>
        <w:b/>
        <w:sz w:val="44"/>
        <w:szCs w:val="44"/>
      </w:rPr>
      <w:t xml:space="preserve">Resolución Nº   </w:t>
    </w:r>
    <w:r>
      <w:rPr>
        <w:rFonts w:ascii="Tahoma" w:hAnsi="Tahoma" w:cs="Tahoma"/>
        <w:b/>
        <w:sz w:val="44"/>
        <w:szCs w:val="44"/>
      </w:rPr>
      <w:t>1106-2011-TC-S1</w:t>
    </w:r>
  </w:p>
  <w:p w:rsidR="004A4A91" w:rsidRDefault="004A4A91">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FB8CD090"/>
    <w:lvl w:ilvl="0" w:tplc="C3401FD4">
      <w:start w:val="1"/>
      <w:numFmt w:val="decimal"/>
      <w:lvlText w:val="%1."/>
      <w:lvlJc w:val="left"/>
      <w:pPr>
        <w:tabs>
          <w:tab w:val="num" w:pos="786"/>
        </w:tabs>
        <w:ind w:left="786" w:hanging="360"/>
      </w:pPr>
      <w:rPr>
        <w:b/>
        <w:bCs/>
        <w:i w:val="0"/>
        <w:iCs w:val="0"/>
      </w:rPr>
    </w:lvl>
    <w:lvl w:ilvl="1" w:tplc="33EE8310">
      <w:start w:val="3"/>
      <w:numFmt w:val="bullet"/>
      <w:lvlText w:val=""/>
      <w:lvlJc w:val="left"/>
      <w:pPr>
        <w:tabs>
          <w:tab w:val="num" w:pos="1788"/>
        </w:tabs>
        <w:ind w:left="1788" w:hanging="360"/>
      </w:pPr>
      <w:rPr>
        <w:rFonts w:ascii="Symbol" w:eastAsia="Times New Roman" w:hAnsi="Symbo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1080"/>
        </w:tabs>
        <w:ind w:left="10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09F24358"/>
    <w:multiLevelType w:val="hybridMultilevel"/>
    <w:tmpl w:val="38627852"/>
    <w:lvl w:ilvl="0" w:tplc="593EFBF6">
      <w:start w:val="1"/>
      <w:numFmt w:val="decimal"/>
      <w:lvlText w:val="%1."/>
      <w:lvlJc w:val="left"/>
      <w:pPr>
        <w:tabs>
          <w:tab w:val="num" w:pos="720"/>
        </w:tabs>
        <w:ind w:left="720" w:hanging="360"/>
      </w:pPr>
      <w:rPr>
        <w:rFonts w:hint="default"/>
        <w:b/>
        <w:bCs/>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nsid w:val="0CEA1DE0"/>
    <w:multiLevelType w:val="hybridMultilevel"/>
    <w:tmpl w:val="4DB22C10"/>
    <w:lvl w:ilvl="0" w:tplc="A8B6CD7C">
      <w:start w:val="1"/>
      <w:numFmt w:val="decimal"/>
      <w:lvlText w:val="%1."/>
      <w:lvlJc w:val="left"/>
      <w:pPr>
        <w:ind w:left="1440" w:hanging="360"/>
      </w:pPr>
      <w:rPr>
        <w:b/>
        <w:bCs/>
      </w:r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3">
    <w:nsid w:val="131D60A9"/>
    <w:multiLevelType w:val="hybridMultilevel"/>
    <w:tmpl w:val="1A801A96"/>
    <w:lvl w:ilvl="0" w:tplc="AAC2829A">
      <w:start w:val="1"/>
      <w:numFmt w:val="decimal"/>
      <w:lvlText w:val="%1."/>
      <w:lvlJc w:val="left"/>
      <w:pPr>
        <w:tabs>
          <w:tab w:val="num" w:pos="720"/>
        </w:tabs>
        <w:ind w:left="720" w:hanging="360"/>
      </w:pPr>
      <w:rPr>
        <w:b/>
        <w:bCs/>
      </w:rPr>
    </w:lvl>
    <w:lvl w:ilvl="1" w:tplc="64268118">
      <w:start w:val="1"/>
      <w:numFmt w:val="bullet"/>
      <w:lvlText w:val=""/>
      <w:lvlJc w:val="left"/>
      <w:pPr>
        <w:tabs>
          <w:tab w:val="num" w:pos="1440"/>
        </w:tabs>
        <w:ind w:left="1440" w:hanging="360"/>
      </w:pPr>
      <w:rPr>
        <w:rFonts w:ascii="Symbol" w:eastAsia="Times New Roman" w:hAnsi="Symbo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
    <w:nsid w:val="13F308E8"/>
    <w:multiLevelType w:val="hybridMultilevel"/>
    <w:tmpl w:val="9E244E80"/>
    <w:lvl w:ilvl="0" w:tplc="0C0A0019">
      <w:start w:val="1"/>
      <w:numFmt w:val="lowerLetter"/>
      <w:lvlText w:val="%1."/>
      <w:lvlJc w:val="left"/>
      <w:pPr>
        <w:ind w:left="1260" w:hanging="360"/>
      </w:pPr>
    </w:lvl>
    <w:lvl w:ilvl="1" w:tplc="0C0A0019">
      <w:start w:val="1"/>
      <w:numFmt w:val="lowerLetter"/>
      <w:lvlText w:val="%2."/>
      <w:lvlJc w:val="left"/>
      <w:pPr>
        <w:ind w:left="1980" w:hanging="360"/>
      </w:pPr>
    </w:lvl>
    <w:lvl w:ilvl="2" w:tplc="0C0A001B">
      <w:start w:val="1"/>
      <w:numFmt w:val="lowerRoman"/>
      <w:lvlText w:val="%3."/>
      <w:lvlJc w:val="right"/>
      <w:pPr>
        <w:ind w:left="2700" w:hanging="180"/>
      </w:pPr>
    </w:lvl>
    <w:lvl w:ilvl="3" w:tplc="0C0A000F">
      <w:start w:val="1"/>
      <w:numFmt w:val="decimal"/>
      <w:lvlText w:val="%4."/>
      <w:lvlJc w:val="left"/>
      <w:pPr>
        <w:ind w:left="3420" w:hanging="360"/>
      </w:pPr>
    </w:lvl>
    <w:lvl w:ilvl="4" w:tplc="0C0A0019">
      <w:start w:val="1"/>
      <w:numFmt w:val="lowerLetter"/>
      <w:lvlText w:val="%5."/>
      <w:lvlJc w:val="left"/>
      <w:pPr>
        <w:ind w:left="4140" w:hanging="360"/>
      </w:pPr>
    </w:lvl>
    <w:lvl w:ilvl="5" w:tplc="0C0A001B">
      <w:start w:val="1"/>
      <w:numFmt w:val="lowerRoman"/>
      <w:lvlText w:val="%6."/>
      <w:lvlJc w:val="right"/>
      <w:pPr>
        <w:ind w:left="4860" w:hanging="180"/>
      </w:pPr>
    </w:lvl>
    <w:lvl w:ilvl="6" w:tplc="0C0A000F">
      <w:start w:val="1"/>
      <w:numFmt w:val="decimal"/>
      <w:lvlText w:val="%7."/>
      <w:lvlJc w:val="left"/>
      <w:pPr>
        <w:ind w:left="5580" w:hanging="360"/>
      </w:pPr>
    </w:lvl>
    <w:lvl w:ilvl="7" w:tplc="0C0A0019">
      <w:start w:val="1"/>
      <w:numFmt w:val="lowerLetter"/>
      <w:lvlText w:val="%8."/>
      <w:lvlJc w:val="left"/>
      <w:pPr>
        <w:ind w:left="6300" w:hanging="360"/>
      </w:pPr>
    </w:lvl>
    <w:lvl w:ilvl="8" w:tplc="0C0A001B">
      <w:start w:val="1"/>
      <w:numFmt w:val="lowerRoman"/>
      <w:lvlText w:val="%9."/>
      <w:lvlJc w:val="right"/>
      <w:pPr>
        <w:ind w:left="7020" w:hanging="180"/>
      </w:pPr>
    </w:lvl>
  </w:abstractNum>
  <w:abstractNum w:abstractNumId="5">
    <w:nsid w:val="3CDF6F1B"/>
    <w:multiLevelType w:val="hybridMultilevel"/>
    <w:tmpl w:val="C5A8305A"/>
    <w:lvl w:ilvl="0" w:tplc="B1A6D17A">
      <w:start w:val="1"/>
      <w:numFmt w:val="lowerLetter"/>
      <w:lvlText w:val="%1)"/>
      <w:lvlJc w:val="left"/>
      <w:pPr>
        <w:ind w:left="108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4ADA5249"/>
    <w:multiLevelType w:val="multilevel"/>
    <w:tmpl w:val="AE546D80"/>
    <w:lvl w:ilvl="0">
      <w:start w:val="1"/>
      <w:numFmt w:val="decimal"/>
      <w:lvlText w:val="%1."/>
      <w:lvlJc w:val="left"/>
      <w:pPr>
        <w:tabs>
          <w:tab w:val="num" w:pos="360"/>
        </w:tabs>
        <w:ind w:left="360" w:hanging="360"/>
      </w:pPr>
      <w:rPr>
        <w:b/>
        <w:bCs/>
        <w:i w:val="0"/>
        <w:i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51B8397D"/>
    <w:multiLevelType w:val="hybridMultilevel"/>
    <w:tmpl w:val="0A70C0FA"/>
    <w:lvl w:ilvl="0" w:tplc="6FB00CFE">
      <w:start w:val="1"/>
      <w:numFmt w:val="lowerRoman"/>
      <w:lvlText w:val="%1)"/>
      <w:lvlJc w:val="left"/>
      <w:pPr>
        <w:tabs>
          <w:tab w:val="num" w:pos="1080"/>
        </w:tabs>
        <w:ind w:left="1080" w:hanging="720"/>
      </w:pPr>
    </w:lvl>
    <w:lvl w:ilvl="1" w:tplc="E30A9E44">
      <w:start w:val="1"/>
      <w:numFmt w:val="decimal"/>
      <w:lvlText w:val="%2."/>
      <w:lvlJc w:val="left"/>
      <w:pPr>
        <w:tabs>
          <w:tab w:val="num" w:pos="1080"/>
        </w:tabs>
        <w:ind w:left="1080" w:hanging="360"/>
      </w:pPr>
      <w:rPr>
        <w:b/>
        <w:bCs/>
        <w:i w:val="0"/>
        <w:iCs w:val="0"/>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8">
    <w:nsid w:val="678235A8"/>
    <w:multiLevelType w:val="hybridMultilevel"/>
    <w:tmpl w:val="63CE349A"/>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1A524C"/>
    <w:rsid w:val="00173D2F"/>
    <w:rsid w:val="001A524C"/>
    <w:rsid w:val="001D1907"/>
    <w:rsid w:val="001D522A"/>
    <w:rsid w:val="004A4A91"/>
    <w:rsid w:val="00582E1B"/>
    <w:rsid w:val="005F5B60"/>
    <w:rsid w:val="00641CA7"/>
    <w:rsid w:val="0066645E"/>
    <w:rsid w:val="00730C20"/>
    <w:rsid w:val="008215D5"/>
    <w:rsid w:val="008C2559"/>
    <w:rsid w:val="0096071E"/>
    <w:rsid w:val="00DC065F"/>
    <w:rsid w:val="00EC70C4"/>
    <w:rsid w:val="00F871E6"/>
    <w:rsid w:val="00F9141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524C"/>
    <w:rPr>
      <w:rFonts w:ascii="Calibri" w:eastAsia="Calibri" w:hAnsi="Calibri" w:cs="Times New Roman"/>
    </w:rPr>
  </w:style>
  <w:style w:type="paragraph" w:styleId="Ttulo2">
    <w:name w:val="heading 2"/>
    <w:basedOn w:val="Normal"/>
    <w:next w:val="Normal"/>
    <w:link w:val="Ttulo2Car"/>
    <w:qFormat/>
    <w:rsid w:val="001A524C"/>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1A524C"/>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1A524C"/>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1A524C"/>
    <w:rPr>
      <w:rFonts w:ascii="Arial" w:eastAsia="Calibri" w:hAnsi="Arial" w:cs="Arial"/>
      <w:b/>
      <w:bCs/>
      <w:sz w:val="26"/>
      <w:szCs w:val="26"/>
    </w:rPr>
  </w:style>
  <w:style w:type="paragraph" w:styleId="Textoindependiente3">
    <w:name w:val="Body Text 3"/>
    <w:basedOn w:val="Normal"/>
    <w:link w:val="Textoindependiente3Car"/>
    <w:semiHidden/>
    <w:unhideWhenUsed/>
    <w:rsid w:val="001A524C"/>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1A524C"/>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1A524C"/>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1A524C"/>
    <w:pPr>
      <w:tabs>
        <w:tab w:val="center" w:pos="4252"/>
        <w:tab w:val="right" w:pos="8504"/>
      </w:tabs>
    </w:pPr>
  </w:style>
  <w:style w:type="character" w:customStyle="1" w:styleId="PiedepginaCar">
    <w:name w:val="Pie de página Car"/>
    <w:basedOn w:val="Fuentedeprrafopredeter"/>
    <w:link w:val="Piedepgina"/>
    <w:uiPriority w:val="99"/>
    <w:rsid w:val="001A524C"/>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Texto nota pie1 Car Car,Car2 Car1 Car,Texto independiente11"/>
    <w:basedOn w:val="Normal"/>
    <w:link w:val="TextonotapieCar"/>
    <w:uiPriority w:val="99"/>
    <w:rsid w:val="001A524C"/>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uiPriority w:val="99"/>
    <w:rsid w:val="001A524C"/>
    <w:rPr>
      <w:rFonts w:ascii="Tahoma" w:eastAsia="Calibri" w:hAnsi="Tahoma" w:cs="Tahoma"/>
      <w:sz w:val="20"/>
      <w:szCs w:val="20"/>
    </w:rPr>
  </w:style>
  <w:style w:type="character" w:styleId="Refdenotaalpie">
    <w:name w:val="footnote reference"/>
    <w:basedOn w:val="Fuentedeprrafopredeter"/>
    <w:uiPriority w:val="99"/>
    <w:semiHidden/>
    <w:rsid w:val="001A524C"/>
    <w:rPr>
      <w:vertAlign w:val="superscript"/>
    </w:rPr>
  </w:style>
  <w:style w:type="paragraph" w:styleId="Textoindependiente">
    <w:name w:val="Body Text"/>
    <w:basedOn w:val="Normal"/>
    <w:link w:val="TextoindependienteCar"/>
    <w:uiPriority w:val="99"/>
    <w:semiHidden/>
    <w:unhideWhenUsed/>
    <w:rsid w:val="001A524C"/>
    <w:pPr>
      <w:spacing w:after="120"/>
    </w:pPr>
  </w:style>
  <w:style w:type="character" w:customStyle="1" w:styleId="TextoindependienteCar">
    <w:name w:val="Texto independiente Car"/>
    <w:basedOn w:val="Fuentedeprrafopredeter"/>
    <w:link w:val="Textoindependiente"/>
    <w:uiPriority w:val="99"/>
    <w:semiHidden/>
    <w:rsid w:val="001A524C"/>
    <w:rPr>
      <w:rFonts w:ascii="Calibri" w:eastAsia="Calibri" w:hAnsi="Calibri" w:cs="Times New Roman"/>
    </w:rPr>
  </w:style>
  <w:style w:type="paragraph" w:styleId="NormalWeb">
    <w:name w:val="Normal (Web)"/>
    <w:basedOn w:val="Normal"/>
    <w:uiPriority w:val="99"/>
    <w:rsid w:val="001A524C"/>
    <w:pPr>
      <w:spacing w:before="100" w:beforeAutospacing="1" w:after="100" w:afterAutospacing="1" w:line="240" w:lineRule="auto"/>
    </w:pPr>
    <w:rPr>
      <w:rFonts w:ascii="Times New Roman" w:hAnsi="Times New Roman"/>
      <w:sz w:val="24"/>
      <w:szCs w:val="24"/>
      <w:lang w:eastAsia="es-ES"/>
    </w:rPr>
  </w:style>
  <w:style w:type="character" w:styleId="Textoennegrita">
    <w:name w:val="Strong"/>
    <w:basedOn w:val="Fuentedeprrafopredeter"/>
    <w:uiPriority w:val="99"/>
    <w:qFormat/>
    <w:rsid w:val="001A524C"/>
    <w:rPr>
      <w:b/>
      <w:bCs/>
    </w:rPr>
  </w:style>
  <w:style w:type="paragraph" w:customStyle="1" w:styleId="Prrafodelista1">
    <w:name w:val="Párrafo de lista1"/>
    <w:basedOn w:val="Normal"/>
    <w:uiPriority w:val="99"/>
    <w:rsid w:val="001A524C"/>
    <w:pPr>
      <w:spacing w:after="0" w:line="240" w:lineRule="auto"/>
      <w:ind w:left="720"/>
    </w:pPr>
    <w:rPr>
      <w:rFonts w:ascii="Times New Roman" w:hAnsi="Times New Roman"/>
      <w:sz w:val="24"/>
      <w:szCs w:val="24"/>
      <w:lang w:eastAsia="es-ES"/>
    </w:rPr>
  </w:style>
  <w:style w:type="paragraph" w:styleId="Encabezado">
    <w:name w:val="header"/>
    <w:aliases w:val="maria,h"/>
    <w:basedOn w:val="Normal"/>
    <w:link w:val="EncabezadoCar"/>
    <w:uiPriority w:val="99"/>
    <w:semiHidden/>
    <w:unhideWhenUsed/>
    <w:rsid w:val="004A4A91"/>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4A4A91"/>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78958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7</Pages>
  <Words>2630</Words>
  <Characters>14470</Characters>
  <Application>Microsoft Office Word</Application>
  <DocSecurity>0</DocSecurity>
  <Lines>120</Lines>
  <Paragraphs>34</Paragraphs>
  <ScaleCrop>false</ScaleCrop>
  <Company/>
  <LinksUpToDate>false</LinksUpToDate>
  <CharactersWithSpaces>17066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10</cp:revision>
  <cp:lastPrinted>2011-06-21T20:13:00Z</cp:lastPrinted>
  <dcterms:created xsi:type="dcterms:W3CDTF">2011-06-20T21:53:00Z</dcterms:created>
  <dcterms:modified xsi:type="dcterms:W3CDTF">2011-07-11T14:27:00Z</dcterms:modified>
</cp:coreProperties>
</file>